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9675DB">
        <w:trPr>
          <w:trHeight w:val="80"/>
        </w:trPr>
        <w:tc>
          <w:tcPr>
            <w:tcW w:w="15388" w:type="dxa"/>
          </w:tcPr>
          <w:p w:rsidR="009675DB" w:rsidRDefault="00BE2A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KIP-Zielraster 2022-2023 und Aktualisierung KIP-Zielraster 2018-2021: Eingabe per 30. April 2021</w:t>
            </w:r>
          </w:p>
        </w:tc>
      </w:tr>
    </w:tbl>
    <w:p w:rsidR="009675DB" w:rsidRDefault="009675DB">
      <w:pPr>
        <w:tabs>
          <w:tab w:val="left" w:pos="12758"/>
        </w:tabs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488"/>
      </w:tblGrid>
      <w:tr w:rsidR="009675DB">
        <w:tc>
          <w:tcPr>
            <w:tcW w:w="12900" w:type="dxa"/>
          </w:tcPr>
          <w:p w:rsidR="009675DB" w:rsidRDefault="00BE2A7E">
            <w:pPr>
              <w:tabs>
                <w:tab w:val="left" w:pos="12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Kanton: XY</w:t>
            </w:r>
          </w:p>
        </w:tc>
        <w:tc>
          <w:tcPr>
            <w:tcW w:w="2488" w:type="dxa"/>
          </w:tcPr>
          <w:p w:rsidR="009675DB" w:rsidRDefault="00BE2A7E">
            <w:pPr>
              <w:tabs>
                <w:tab w:val="left" w:pos="12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Stand: XX.YY.ZZZZ</w:t>
            </w:r>
          </w:p>
        </w:tc>
      </w:tr>
    </w:tbl>
    <w:p w:rsidR="009675DB" w:rsidRDefault="00BE2A7E">
      <w:pPr>
        <w:tabs>
          <w:tab w:val="left" w:pos="1275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538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Pfeiler 1 „Information und Beratung“ / Förderbereich „Erstinformation und Integrationsförderbedarf“ 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Alle aus dem Ausland neu zuziehenden Personen mit Perspektive auf längerfristigen, rechtmässigen Aufenthalt werden in der Schweiz willkommen geheissen und </w:t>
            </w:r>
            <w:r>
              <w:rPr>
                <w:rFonts w:cs="Arial"/>
                <w:sz w:val="16"/>
                <w:szCs w:val="16"/>
              </w:rPr>
              <w:t>sind über die wichtigsten hiesigen Lebensbedingungen und Integrationsangebote informiert.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Migrantinnen und Migranten mit besonderem Integrationsförderbedarf werden so früh wie möglich, spätestens aber nach einem Jahr geeigneten Integrationsmassnahmen zugew</w:t>
            </w:r>
            <w:r>
              <w:rPr>
                <w:rFonts w:cs="Arial"/>
                <w:sz w:val="16"/>
                <w:szCs w:val="16"/>
              </w:rPr>
              <w:t>iesen</w:t>
            </w:r>
            <w:r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  <w:vertAlign w:val="superscript"/>
              </w:rPr>
              <w:t>1</w:t>
            </w:r>
          </w:p>
          <w:p w:rsidR="009675DB" w:rsidRDefault="00BE2A7E">
            <w:pPr>
              <w:pStyle w:val="Listenabsatz"/>
              <w:numPr>
                <w:ilvl w:val="0"/>
                <w:numId w:val="18"/>
              </w:numPr>
              <w:spacing w:line="360" w:lineRule="auto"/>
              <w:ind w:left="356" w:hanging="36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IAS: Alle VA/FL ab 16 Jahre werden begrüsst und über ihre neue Lebenssituation, ihre Rechte und Pflichten informiert. Sie sind über den Integrationsprozess informiert, die gegenseitigen Erwartungen an den Integrationsprozess sind geklärt. Die Resso</w:t>
            </w:r>
            <w:r>
              <w:rPr>
                <w:rFonts w:cs="Arial"/>
                <w:sz w:val="16"/>
                <w:szCs w:val="16"/>
              </w:rPr>
              <w:t>urcen der einzelnen Personen sind unter Berücksichtigung der persönlichen und familiären Situation sowie des Gesundheitszustandes erfasst.</w:t>
            </w:r>
          </w:p>
          <w:p w:rsidR="009675DB" w:rsidRDefault="00BE2A7E">
            <w:r>
              <w:rPr>
                <w:sz w:val="12"/>
                <w:szCs w:val="12"/>
                <w:vertAlign w:val="superscript"/>
              </w:rPr>
              <w:t>1</w:t>
            </w:r>
            <w:r>
              <w:rPr>
                <w:sz w:val="12"/>
                <w:szCs w:val="12"/>
              </w:rPr>
              <w:t xml:space="preserve"> Personen aus EU-/EFTA-Staaten können nicht zur Teilnahme an Integrationsmassnahmen verpflichtet werden.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und 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>
      <w:pPr>
        <w:sectPr w:rsidR="009675DB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538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Pfeiler 1 „Information und Beratung“ / Förderbereich „Beratung“ 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Migrantinnen und Migranten sind informiert und beraten in Fragen des Spracherwerbs, der </w:t>
            </w:r>
            <w:r>
              <w:rPr>
                <w:rFonts w:cs="Arial"/>
                <w:sz w:val="16"/>
                <w:szCs w:val="16"/>
              </w:rPr>
              <w:t>Alltagsbewältigung sowie der beruflichen und sozialen Integration.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Fachpersonen und Institutionen der Regelstrukturen sowie weitere interessierte Kreise sind informiert, beraten und verfügen über Begleitung beim Abbau von Integrationshemmnissen, bei Prozes</w:t>
            </w:r>
            <w:r>
              <w:rPr>
                <w:rFonts w:cs="Arial"/>
                <w:sz w:val="16"/>
                <w:szCs w:val="16"/>
              </w:rPr>
              <w:t>sen der transkulturellen Öffnung und bei der Bereitstellung zielgruppenspezifischer Massnahmen.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Bevölkerung ist informiert über die besondere Situation der Ausländerinnen und Ausländer, die Ziele und Grundprinzipien der Integrationspolitik sowie die In</w:t>
            </w:r>
            <w:r>
              <w:rPr>
                <w:rFonts w:cs="Arial"/>
                <w:sz w:val="16"/>
                <w:szCs w:val="16"/>
              </w:rPr>
              <w:t>tegrationsförderung.</w:t>
            </w:r>
            <w:r>
              <w:rPr>
                <w:sz w:val="12"/>
                <w:szCs w:val="12"/>
              </w:rPr>
              <w:t xml:space="preserve"> 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IAS:</w:t>
            </w:r>
            <w:r>
              <w:t xml:space="preserve"> </w:t>
            </w:r>
            <w:r>
              <w:rPr>
                <w:sz w:val="16"/>
                <w:szCs w:val="16"/>
              </w:rPr>
              <w:t>VA/FL verfügen während dem ganzen Erstintegrationsprozess über individuelle und professionelle Beratung und Begleitung durch eine Fach- und Ansprechstelle, die interdisziplinär arbeitet.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Massnahmen KIP 2022-2023 und </w:t>
            </w:r>
            <w:r>
              <w:rPr>
                <w:rFonts w:cs="Arial"/>
              </w:rPr>
              <w:t>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p w:rsidR="009675DB" w:rsidRDefault="009675DB">
      <w:pPr>
        <w:sectPr w:rsidR="009675DB"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538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Pfeiler 1 „Information und Beratung“ / Förderbereich „Schutz vor Diskriminierung“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Institutionen der Regelstrukturen sowie weitere interessierte Kreise sind informiert und beraten in Fragen des </w:t>
            </w:r>
            <w:r>
              <w:rPr>
                <w:rFonts w:cs="Arial"/>
                <w:sz w:val="16"/>
                <w:szCs w:val="16"/>
              </w:rPr>
              <w:t>Diskriminierungsschutzes.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Menschen, die aufgrund von Herkunft oder Rasse diskriminiert werden, verfügen über kompetente Beratung und Unterstützung.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und 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p w:rsidR="009675DB" w:rsidRDefault="009675DB">
      <w:pPr>
        <w:sectPr w:rsidR="009675DB"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309" w:type="dxa"/>
            <w:tcBorders>
              <w:bottom w:val="nil"/>
            </w:tcBorders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Pfeiler 2 „Bildung und Arbeit“ / Förderbereich „Sprache"  </w:t>
            </w:r>
          </w:p>
          <w:p w:rsidR="009675DB" w:rsidRDefault="00BE2A7E" w:rsidP="00EE1321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Migrantinnen und Migranten verfügen über geeignete Bildungsangebote, um sich die für die Verständigung im Alltag notwendigen </w:t>
            </w:r>
            <w:r w:rsidR="00EE1321" w:rsidRPr="00EE1321">
              <w:rPr>
                <w:rFonts w:cs="Arial"/>
                <w:sz w:val="16"/>
                <w:szCs w:val="16"/>
              </w:rPr>
              <w:t>und ihrer beruflichen Situation angemessenen Sprachkompetenzen</w:t>
            </w:r>
            <w:r w:rsidR="00EE1321">
              <w:rPr>
                <w:rFonts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anzueignen.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IAS: Alle potenziell erwerbsfähigen VA/FL verfügen über münd</w:t>
            </w:r>
            <w:r>
              <w:rPr>
                <w:rFonts w:cs="Arial"/>
                <w:sz w:val="16"/>
                <w:szCs w:val="16"/>
              </w:rPr>
              <w:t>liche und schriftliche Sprachkompetenzen, die es ihnen ermöglichen, ihren Alltag autonom zu bewältigen sowie den Zugang zum Arbeitsmarkt und ins Schweizer Aus- und Weiterbildungssystem zu erhalten.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IAS: </w:t>
            </w:r>
            <w:r>
              <w:rPr>
                <w:rFonts w:cs="Arial"/>
                <w:sz w:val="16"/>
                <w:szCs w:val="16"/>
              </w:rPr>
              <w:t xml:space="preserve">Auch VA/FL, denen auf dem Arbeitsmarkt wenig Chancen eingeräumt werden, verfügen über mündliche Sprachkompetenzen und eine Vertrautheit mit der schriftlichen Sprache, die es ihnen ermöglichen, sich möglichst autonom im Alltag zu bewegen. 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IAS: Alle Sprachf</w:t>
            </w:r>
            <w:r>
              <w:rPr>
                <w:rFonts w:cs="Arial"/>
                <w:sz w:val="16"/>
                <w:szCs w:val="16"/>
              </w:rPr>
              <w:t>ördermassnahmen setzen möglichst früh ein und erreichen auch Asylsuchende im erweiterten Verfahren.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und 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SMART: spezifisch, messbar, </w:t>
            </w:r>
            <w:r>
              <w:rPr>
                <w:rFonts w:cs="Arial"/>
                <w:i/>
                <w:sz w:val="16"/>
                <w:szCs w:val="16"/>
              </w:rPr>
              <w:t>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p w:rsidR="009675DB" w:rsidRDefault="009675DB">
      <w:pPr>
        <w:sectPr w:rsidR="009675DB"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309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Pfeiler 2 „Bildung und Arbeit“ / Förderbereich „Frühe Kindheit“ 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Migrationsfamilien sind informiert über die medizinischen, familienunterstützenden und integrationsfördernden Angebote im Frühbereich und haben chancengleichen Zugang zu diesen.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IAS: Kleinkinder von VA/FL erwerben noch vor dem Kindergarteneintritt mündlich</w:t>
            </w:r>
            <w:r>
              <w:rPr>
                <w:rFonts w:cs="Arial"/>
                <w:color w:val="000000"/>
                <w:sz w:val="16"/>
                <w:szCs w:val="16"/>
              </w:rPr>
              <w:t>e Kompetenzen in einer Landessprache.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und 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p w:rsidR="009675DB" w:rsidRDefault="009675DB">
      <w:pPr>
        <w:sectPr w:rsidR="009675DB"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538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Pfeiler 2 „Bildung und Arbeit“ / Förderbereich „Ausbildungs- und Arbeitsmarktfähigkeit“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Migrantinnen und Migranten, die </w:t>
            </w:r>
            <w:r>
              <w:rPr>
                <w:rFonts w:cs="Arial"/>
                <w:sz w:val="16"/>
                <w:szCs w:val="16"/>
              </w:rPr>
              <w:t>keinen direkten Zugang zu den Regelstrukturen haben, verfügen über ein Förderangebot, das sie entweder auf die postobligatorischen Bildungsangebote, namentlich die Berufsbildung (inkl. Brückenangebote) vorbereitet oder ihre Arbeitsmarktfähigkeit verbessert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IAS: VA/FL, die das Potenzial haben, im Arbeitsmarkt Fuss zu fassen, verfügen über Qualifikationen, die ihre Arbeitsmarkt- und Ausbildungsfähigkeit verbessern und ihnen eine Teilnahme am wirtschaftlichen Leben ermöglichen.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</w:t>
            </w:r>
            <w:r>
              <w:rPr>
                <w:rFonts w:cs="Arial"/>
              </w:rPr>
              <w:t>d 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p w:rsidR="009675DB" w:rsidRDefault="009675DB">
      <w:pPr>
        <w:sectPr w:rsidR="009675DB"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538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Pfeiler 3 „Verständigung und gesellschaftliche Integration“ / Förderbereich „Interkulturelles Dolmetschen und Vermitteln“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Für anspruchsvolle Gespräche mit Migrantinnen und Migranten (zum Beispiel </w:t>
            </w:r>
            <w:r>
              <w:rPr>
                <w:rFonts w:cs="Arial"/>
                <w:sz w:val="16"/>
                <w:szCs w:val="16"/>
              </w:rPr>
              <w:t>komplexe Sachverhalte, Situationen mit weitreichenden Konsequenzen etc.) steht den Mitarbeitenden von Regelstrukturen ein professionelles Angebot im Bereich des interkulturellen Dolmetschens und Vermittelns zur Verfügung.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und A</w:t>
            </w:r>
            <w:r>
              <w:rPr>
                <w:rFonts w:cs="Arial"/>
              </w:rPr>
              <w:t>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p w:rsidR="009675DB" w:rsidRDefault="009675DB">
      <w:pPr>
        <w:sectPr w:rsidR="009675DB">
          <w:pgSz w:w="16838" w:h="11906" w:orient="landscape" w:code="9"/>
          <w:pgMar w:top="720" w:right="720" w:bottom="720" w:left="720" w:header="680" w:footer="340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675DB">
        <w:tc>
          <w:tcPr>
            <w:tcW w:w="15309" w:type="dxa"/>
            <w:shd w:val="clear" w:color="auto" w:fill="D9D9D9"/>
          </w:tcPr>
          <w:p w:rsidR="009675DB" w:rsidRDefault="00BE2A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Pfeiler 3 „Verständigung und gesellschaftliche Integration“ / Förderbereich „Zusammenleben“ </w:t>
            </w:r>
          </w:p>
          <w:p w:rsidR="009675DB" w:rsidRDefault="00BE2A7E">
            <w:pPr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Migrantinnen und Migranten nehmen am gesellschaftlichen Leben in der Nachbarschaft, d.h. in der Gemeinde und im</w:t>
            </w:r>
            <w:r>
              <w:rPr>
                <w:rFonts w:cs="Arial"/>
                <w:sz w:val="16"/>
                <w:szCs w:val="16"/>
              </w:rPr>
              <w:t xml:space="preserve"> Quartier sowie in zivilgesellschaftlichen Organisationen teil.</w:t>
            </w:r>
          </w:p>
          <w:p w:rsidR="009675DB" w:rsidRDefault="00BE2A7E">
            <w:pPr>
              <w:pStyle w:val="Listenabsatz"/>
              <w:numPr>
                <w:ilvl w:val="0"/>
                <w:numId w:val="16"/>
              </w:numPr>
              <w:spacing w:line="360" w:lineRule="auto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IAS: VA/FL ab 16 Jahren nehmen am gesellschaftlichen Leben in der Nachbarschaft, d.h. in der Gemeinde und im Quartier, teil und engagieren sich im Rahmen ihrer individuellen Interessen und </w:t>
            </w:r>
            <w:r>
              <w:rPr>
                <w:rFonts w:cs="Arial"/>
                <w:color w:val="000000"/>
                <w:sz w:val="16"/>
                <w:szCs w:val="16"/>
              </w:rPr>
              <w:t>Möglichkeiten in zivilgesellschaftlichen Organisationen.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9675DB" w:rsidRDefault="009675DB"/>
    <w:p w:rsidR="009675DB" w:rsidRDefault="00BE2A7E">
      <w:pPr>
        <w:tabs>
          <w:tab w:val="left" w:pos="4796"/>
        </w:tabs>
      </w:pPr>
      <w: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62"/>
        <w:gridCol w:w="2464"/>
        <w:gridCol w:w="2464"/>
        <w:gridCol w:w="2463"/>
        <w:gridCol w:w="2464"/>
        <w:gridCol w:w="2464"/>
      </w:tblGrid>
      <w:tr w:rsidR="009675DB">
        <w:tc>
          <w:tcPr>
            <w:tcW w:w="15309" w:type="dxa"/>
            <w:gridSpan w:val="7"/>
            <w:shd w:val="clear" w:color="auto" w:fill="D9D9D9" w:themeFill="background1" w:themeFillShade="D9"/>
          </w:tcPr>
          <w:p w:rsidR="009675DB" w:rsidRDefault="00BE2A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Massnahmen KIP 2022-2023 und Aktualisierung Massnahmen KIP 2018-2021</w:t>
            </w:r>
          </w:p>
        </w:tc>
      </w:tr>
      <w:tr w:rsidR="009675DB">
        <w:tc>
          <w:tcPr>
            <w:tcW w:w="528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lang w:val="fr-CH"/>
              </w:rPr>
              <w:t>Nr.</w:t>
            </w:r>
          </w:p>
        </w:tc>
        <w:tc>
          <w:tcPr>
            <w:tcW w:w="2462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Wirkungsziel (Outcome)</w:t>
            </w:r>
          </w:p>
          <w:p w:rsidR="009675DB" w:rsidRDefault="009675DB">
            <w:pPr>
              <w:rPr>
                <w:rFonts w:cs="Arial"/>
                <w:b/>
                <w:sz w:val="16"/>
                <w:szCs w:val="16"/>
              </w:rPr>
            </w:pPr>
          </w:p>
          <w:p w:rsidR="009675DB" w:rsidRDefault="009675DB">
            <w:pPr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Leistungsziel (Output)</w:t>
            </w:r>
          </w:p>
          <w:p w:rsidR="009675DB" w:rsidRDefault="00BE2A7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SMART: spezifisch, messbar, angemessen, realistisch, terminiert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</w:t>
            </w:r>
            <w:r>
              <w:rPr>
                <w:rFonts w:cs="Arial"/>
                <w:b/>
                <w:sz w:val="16"/>
                <w:szCs w:val="16"/>
              </w:rPr>
              <w:t xml:space="preserve"> Umsetzung /</w:t>
            </w:r>
          </w:p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Massnahmen</w:t>
            </w:r>
          </w:p>
        </w:tc>
        <w:tc>
          <w:tcPr>
            <w:tcW w:w="2463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Meilensteine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Überprüfung/Evaluation</w:t>
            </w:r>
          </w:p>
        </w:tc>
        <w:tc>
          <w:tcPr>
            <w:tcW w:w="2464" w:type="dxa"/>
            <w:shd w:val="clear" w:color="auto" w:fill="F2F2F2"/>
          </w:tcPr>
          <w:p w:rsidR="009675DB" w:rsidRDefault="00BE2A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Zuständigkeit und Beteiligte</w:t>
            </w:r>
          </w:p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  <w:tr w:rsidR="009675DB">
        <w:trPr>
          <w:trHeight w:val="284"/>
        </w:trPr>
        <w:tc>
          <w:tcPr>
            <w:tcW w:w="528" w:type="dxa"/>
            <w:shd w:val="clear" w:color="auto" w:fill="auto"/>
          </w:tcPr>
          <w:p w:rsidR="009675DB" w:rsidRDefault="009675DB"/>
        </w:tc>
        <w:tc>
          <w:tcPr>
            <w:tcW w:w="2462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3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  <w:tc>
          <w:tcPr>
            <w:tcW w:w="2464" w:type="dxa"/>
            <w:shd w:val="clear" w:color="auto" w:fill="auto"/>
          </w:tcPr>
          <w:p w:rsidR="009675DB" w:rsidRDefault="009675DB"/>
        </w:tc>
      </w:tr>
    </w:tbl>
    <w:p w:rsidR="009675DB" w:rsidRDefault="009675DB"/>
    <w:p w:rsidR="009675DB" w:rsidRDefault="009675DB"/>
    <w:p w:rsidR="009675DB" w:rsidRDefault="009675DB"/>
    <w:sectPr w:rsidR="009675DB">
      <w:pgSz w:w="16838" w:h="11906" w:orient="landscape" w:code="9"/>
      <w:pgMar w:top="720" w:right="720" w:bottom="720" w:left="720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DB" w:rsidRDefault="00BE2A7E">
      <w:r>
        <w:separator/>
      </w:r>
    </w:p>
    <w:p w:rsidR="009675DB" w:rsidRDefault="009675DB"/>
  </w:endnote>
  <w:endnote w:type="continuationSeparator" w:id="0">
    <w:p w:rsidR="009675DB" w:rsidRDefault="00BE2A7E">
      <w:r>
        <w:continuationSeparator/>
      </w:r>
    </w:p>
    <w:p w:rsidR="009675DB" w:rsidRDefault="00967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4145"/>
      <w:gridCol w:w="399"/>
    </w:tblGrid>
    <w:tr w:rsidR="009675DB">
      <w:trPr>
        <w:cantSplit/>
      </w:trPr>
      <w:tc>
        <w:tcPr>
          <w:tcW w:w="14544" w:type="dxa"/>
          <w:gridSpan w:val="2"/>
          <w:vAlign w:val="bottom"/>
        </w:tcPr>
        <w:p w:rsidR="009675DB" w:rsidRDefault="00BE2A7E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9</w:t>
          </w:r>
          <w:r>
            <w:rPr>
              <w:sz w:val="14"/>
              <w:szCs w:val="14"/>
            </w:rPr>
            <w:fldChar w:fldCharType="end"/>
          </w:r>
        </w:p>
      </w:tc>
    </w:tr>
    <w:tr w:rsidR="009675DB">
      <w:trPr>
        <w:gridAfter w:val="1"/>
        <w:wAfter w:w="399" w:type="dxa"/>
        <w:cantSplit/>
        <w:trHeight w:hRule="exact" w:val="540"/>
      </w:trPr>
      <w:tc>
        <w:tcPr>
          <w:tcW w:w="14145" w:type="dxa"/>
          <w:vAlign w:val="bottom"/>
        </w:tcPr>
        <w:p w:rsidR="009675DB" w:rsidRDefault="00BE2A7E">
          <w:pPr>
            <w:spacing w:line="160" w:lineRule="exact"/>
            <w:rPr>
              <w:noProof/>
              <w:sz w:val="12"/>
              <w:szCs w:val="12"/>
            </w:rPr>
          </w:pPr>
          <w:r>
            <w:rPr>
              <w:sz w:val="16"/>
            </w:rPr>
            <w:t>Kantonale Integrationsprogramme (KIP) 2022 - 2023: Zielraster</w:t>
          </w:r>
        </w:p>
      </w:tc>
    </w:tr>
  </w:tbl>
  <w:p w:rsidR="009675DB" w:rsidRDefault="009675DB">
    <w:pPr>
      <w:pStyle w:val="Platzhalter"/>
    </w:pPr>
  </w:p>
  <w:p w:rsidR="009675DB" w:rsidRDefault="009675DB">
    <w:pPr>
      <w:pStyle w:val="Platzhalter"/>
    </w:pPr>
  </w:p>
  <w:p w:rsidR="009675DB" w:rsidRDefault="009675DB">
    <w:pPr>
      <w:pStyle w:val="Fuzeile"/>
    </w:pPr>
  </w:p>
  <w:p w:rsidR="009675DB" w:rsidRDefault="009675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94621678"/>
      <w:docPartObj>
        <w:docPartGallery w:val="Page Numbers (Bottom of Page)"/>
        <w:docPartUnique/>
      </w:docPartObj>
    </w:sdtPr>
    <w:sdtEndPr/>
    <w:sdtContent>
      <w:p w:rsidR="009675DB" w:rsidRDefault="00BE2A7E">
        <w:pPr>
          <w:pStyle w:val="Fuzeile"/>
          <w:rPr>
            <w:sz w:val="16"/>
            <w:szCs w:val="16"/>
          </w:rPr>
        </w:pPr>
        <w:r>
          <w:rPr>
            <w:sz w:val="16"/>
            <w:szCs w:val="16"/>
          </w:rPr>
          <w:t>KIP-Zielraster 2022-2023 und Aktualisierung KIP-Zielraster 2018-</w:t>
        </w:r>
        <w:r>
          <w:rPr>
            <w:sz w:val="16"/>
            <w:szCs w:val="16"/>
          </w:rPr>
          <w:t>2021: Eingabe per 30. April 2021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Pr="00BE2A7E">
          <w:rPr>
            <w:sz w:val="16"/>
            <w:szCs w:val="16"/>
            <w:lang w:val="de-DE"/>
          </w:rPr>
          <w:t>4</w:t>
        </w:r>
        <w:r>
          <w:rPr>
            <w:sz w:val="16"/>
            <w:szCs w:val="16"/>
          </w:rPr>
          <w:fldChar w:fldCharType="end"/>
        </w:r>
      </w:p>
    </w:sdtContent>
  </w:sdt>
  <w:p w:rsidR="009675DB" w:rsidRDefault="009675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DB" w:rsidRDefault="00BE2A7E">
      <w:r>
        <w:separator/>
      </w:r>
    </w:p>
    <w:p w:rsidR="009675DB" w:rsidRDefault="009675DB"/>
  </w:footnote>
  <w:footnote w:type="continuationSeparator" w:id="0">
    <w:p w:rsidR="009675DB" w:rsidRDefault="00BE2A7E">
      <w:r>
        <w:continuationSeparator/>
      </w:r>
    </w:p>
    <w:p w:rsidR="009675DB" w:rsidRDefault="00967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0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4105"/>
    </w:tblGrid>
    <w:tr w:rsidR="009675DB">
      <w:trPr>
        <w:cantSplit/>
        <w:trHeight w:hRule="exact" w:val="420"/>
      </w:trPr>
      <w:tc>
        <w:tcPr>
          <w:tcW w:w="14105" w:type="dxa"/>
        </w:tcPr>
        <w:p w:rsidR="009675DB" w:rsidRDefault="009675DB">
          <w:pPr>
            <w:spacing w:line="200" w:lineRule="exact"/>
            <w:rPr>
              <w:szCs w:val="15"/>
            </w:rPr>
          </w:pPr>
        </w:p>
      </w:tc>
    </w:tr>
  </w:tbl>
  <w:p w:rsidR="009675DB" w:rsidRDefault="009675DB">
    <w:pPr>
      <w:pStyle w:val="Kopfzeile"/>
    </w:pPr>
  </w:p>
  <w:p w:rsidR="009675DB" w:rsidRDefault="009675DB"/>
  <w:p w:rsidR="009675DB" w:rsidRDefault="009675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59" w:type="dxa"/>
      <w:tblInd w:w="7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11411"/>
    </w:tblGrid>
    <w:tr w:rsidR="009675DB">
      <w:trPr>
        <w:cantSplit/>
        <w:trHeight w:hRule="exact" w:val="1698"/>
      </w:trPr>
      <w:tc>
        <w:tcPr>
          <w:tcW w:w="4848" w:type="dxa"/>
        </w:tcPr>
        <w:p w:rsidR="009675DB" w:rsidRDefault="00BE2A7E">
          <w:pPr>
            <w:pStyle w:val="Logo"/>
            <w:ind w:left="-71"/>
          </w:pPr>
          <w:r>
            <w:drawing>
              <wp:inline distT="0" distB="0" distL="0" distR="0">
                <wp:extent cx="1979930" cy="643890"/>
                <wp:effectExtent l="0" t="0" r="1270" b="3810"/>
                <wp:docPr id="6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75DB" w:rsidRDefault="009675DB">
          <w:pPr>
            <w:pStyle w:val="Logo"/>
          </w:pPr>
        </w:p>
      </w:tc>
      <w:tc>
        <w:tcPr>
          <w:tcW w:w="11411" w:type="dxa"/>
        </w:tcPr>
        <w:p w:rsidR="009675DB" w:rsidRDefault="00BE2A7E">
          <w:pPr>
            <w:pStyle w:val="KopfDept"/>
            <w:ind w:left="2027"/>
          </w:pPr>
          <w:r>
            <w:t>Eidgenössisches Justiz- und Polizeidepartement EJPD</w:t>
          </w:r>
        </w:p>
        <w:p w:rsidR="009675DB" w:rsidRDefault="00BE2A7E">
          <w:pPr>
            <w:spacing w:line="200" w:lineRule="exact"/>
            <w:ind w:left="2027"/>
            <w:rPr>
              <w:b/>
              <w:sz w:val="15"/>
              <w:szCs w:val="15"/>
            </w:rPr>
          </w:pPr>
          <w:r>
            <w:rPr>
              <w:rFonts w:cs="Arial"/>
              <w:b/>
              <w:bCs/>
              <w:sz w:val="15"/>
              <w:szCs w:val="15"/>
            </w:rPr>
            <w:t xml:space="preserve">Staatssekretariat </w:t>
          </w:r>
          <w:r>
            <w:rPr>
              <w:b/>
              <w:sz w:val="15"/>
              <w:szCs w:val="15"/>
            </w:rPr>
            <w:t>für Migration SEM</w:t>
          </w:r>
        </w:p>
        <w:p w:rsidR="009675DB" w:rsidRDefault="00BE2A7E">
          <w:pPr>
            <w:spacing w:line="200" w:lineRule="exact"/>
            <w:ind w:left="2027"/>
            <w:rPr>
              <w:sz w:val="15"/>
              <w:szCs w:val="15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"FSC#EJPDCFG@15.1700:HierarchySecondLevel" \* MERGEFORMAT </w:instrText>
          </w:r>
          <w:r>
            <w:rPr>
              <w:sz w:val="15"/>
              <w:szCs w:val="15"/>
            </w:rPr>
            <w:fldChar w:fldCharType="separate"/>
          </w:r>
          <w:r>
            <w:rPr>
              <w:sz w:val="15"/>
              <w:szCs w:val="15"/>
            </w:rPr>
            <w:t>Direktionsbereich Zuwanderung und Integration</w:t>
          </w:r>
          <w:r>
            <w:rPr>
              <w:sz w:val="15"/>
              <w:szCs w:val="15"/>
            </w:rPr>
            <w:fldChar w:fldCharType="end"/>
          </w:r>
        </w:p>
        <w:p w:rsidR="009675DB" w:rsidRDefault="00BE2A7E">
          <w:pPr>
            <w:pStyle w:val="75"/>
            <w:ind w:left="2027"/>
            <w:rPr>
              <w:szCs w:val="15"/>
            </w:rPr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DOCPROPERTY "FSC#EJPDCFG@15.1700:HierarchyThirdLevel" \* MERGEFORMAT </w:instrText>
          </w:r>
          <w:r>
            <w:rPr>
              <w:szCs w:val="15"/>
            </w:rPr>
            <w:fldChar w:fldCharType="separate"/>
          </w:r>
          <w:r>
            <w:rPr>
              <w:szCs w:val="15"/>
            </w:rPr>
            <w:t>Abteilung Integration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br/>
          </w:r>
        </w:p>
        <w:p w:rsidR="009675DB" w:rsidRDefault="009675DB">
          <w:pPr>
            <w:spacing w:line="200" w:lineRule="exact"/>
            <w:rPr>
              <w:sz w:val="15"/>
              <w:szCs w:val="15"/>
            </w:rPr>
          </w:pPr>
        </w:p>
        <w:p w:rsidR="009675DB" w:rsidRDefault="009675DB">
          <w:pPr>
            <w:pStyle w:val="Kopfzeile"/>
          </w:pPr>
        </w:p>
      </w:tc>
    </w:tr>
  </w:tbl>
  <w:p w:rsidR="009675DB" w:rsidRDefault="00BE2A7E">
    <w:pPr>
      <w:pStyle w:val="Platzhalter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6867525</wp:posOffset>
              </wp:positionH>
              <wp:positionV relativeFrom="paragraph">
                <wp:posOffset>-1136015</wp:posOffset>
              </wp:positionV>
              <wp:extent cx="2847975" cy="102870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10287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75DB" w:rsidRDefault="00BE2A7E">
                          <w:pPr>
                            <w:spacing w:line="320" w:lineRule="atLeast"/>
                            <w:jc w:val="center"/>
                            <w:rPr>
                              <w:rFonts w:cs="Arial"/>
                              <w:b/>
                              <w:bCs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6"/>
                            </w:rPr>
                            <w:t>KIP-Zielraster</w:t>
                          </w:r>
                        </w:p>
                        <w:p w:rsidR="009675DB" w:rsidRDefault="00BE2A7E">
                          <w:pPr>
                            <w:widowControl/>
                            <w:spacing w:after="120"/>
                            <w:rPr>
                              <w:rFonts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8"/>
                              <w:u w:val="single"/>
                            </w:rPr>
                            <w:t>Hinweise</w:t>
                          </w:r>
                        </w:p>
                        <w:p w:rsidR="009675DB" w:rsidRDefault="00BE2A7E">
                          <w:pPr>
                            <w:widowControl/>
                            <w:numPr>
                              <w:ilvl w:val="0"/>
                              <w:numId w:val="15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 w:hanging="142"/>
                            <w:rPr>
                              <w:rFonts w:cs="Arial"/>
                              <w:sz w:val="14"/>
                              <w:szCs w:val="24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4"/>
                              <w:szCs w:val="18"/>
                              <w:highlight w:val="yellow"/>
                            </w:rPr>
                            <w:t>Konzeptentwicklungen / Pilotprojekte gelb hinterlegen</w:t>
                          </w:r>
                        </w:p>
                        <w:p w:rsidR="009675DB" w:rsidRDefault="00BE2A7E">
                          <w:pPr>
                            <w:widowControl/>
                            <w:numPr>
                              <w:ilvl w:val="0"/>
                              <w:numId w:val="15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 w:hanging="142"/>
                            <w:rPr>
                              <w:rFonts w:ascii="Times New Roman" w:hAnsi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4"/>
                              <w:szCs w:val="18"/>
                              <w:highlight w:val="green"/>
                            </w:rPr>
                            <w:t>Anstossfinanzierungen grün hinterlegen</w:t>
                          </w:r>
                        </w:p>
                        <w:p w:rsidR="009675DB" w:rsidRDefault="00BE2A7E">
                          <w:pPr>
                            <w:widowControl/>
                            <w:numPr>
                              <w:ilvl w:val="0"/>
                              <w:numId w:val="15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 w:hanging="142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KIP-Massnahmen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 arabische Nummern (1, 2, 3 etc.)</w:t>
                          </w:r>
                        </w:p>
                        <w:p w:rsidR="009675DB" w:rsidRDefault="00BE2A7E">
                          <w:pPr>
                            <w:widowControl/>
                            <w:numPr>
                              <w:ilvl w:val="0"/>
                              <w:numId w:val="15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 w:hanging="142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IAS-Massnahmen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 römische Nummern (I, II, V etc.)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0.75pt;margin-top:-89.45pt;width:224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" fillcolor="#d9d9d9">
              <v:textbox>
                <w:txbxContent>
                  <w:p>
                    <w:pPr>
                      <w:spacing w:line="320" w:lineRule="atLeast"/>
                      <w:jc w:val="center"/>
                      <w:rPr>
                        <w:rFonts w:cs="Arial"/>
                        <w:b/>
                        <w:bCs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bCs/>
                        <w:sz w:val="32"/>
                        <w:szCs w:val="36"/>
                      </w:rPr>
                      <w:t>KIP-Zielraster</w:t>
                    </w:r>
                  </w:p>
                  <w:p>
                    <w:pPr>
                      <w:widowControl/>
                      <w:spacing w:after="120"/>
                      <w:rPr>
                        <w:rFonts w:cs="Arial"/>
                        <w:sz w:val="20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14"/>
                        <w:szCs w:val="18"/>
                        <w:u w:val="single"/>
                      </w:rPr>
                      <w:t>Hinweise</w:t>
                    </w:r>
                  </w:p>
                  <w:p>
                    <w:pPr>
                      <w:widowControl/>
                      <w:numPr>
                        <w:ilvl w:val="0"/>
                        <w:numId w:val="15"/>
                      </w:numPr>
                      <w:tabs>
                        <w:tab w:val="clear" w:pos="720"/>
                      </w:tabs>
                      <w:spacing w:line="240" w:lineRule="auto"/>
                      <w:ind w:left="284" w:hanging="142"/>
                      <w:rPr>
                        <w:rFonts w:cs="Arial"/>
                        <w:sz w:val="14"/>
                        <w:szCs w:val="24"/>
                      </w:rPr>
                    </w:pPr>
                    <w:r>
                      <w:rPr>
                        <w:rFonts w:eastAsia="Calibri" w:cs="Arial"/>
                        <w:color w:val="000000"/>
                        <w:sz w:val="14"/>
                        <w:szCs w:val="18"/>
                        <w:highlight w:val="yellow"/>
                      </w:rPr>
                      <w:t>Konzeptentwicklungen / Pilotprojekte gelb hinterlegen</w:t>
                    </w:r>
                  </w:p>
                  <w:p>
                    <w:pPr>
                      <w:widowControl/>
                      <w:numPr>
                        <w:ilvl w:val="0"/>
                        <w:numId w:val="15"/>
                      </w:numPr>
                      <w:tabs>
                        <w:tab w:val="clear" w:pos="720"/>
                      </w:tabs>
                      <w:spacing w:line="240" w:lineRule="auto"/>
                      <w:ind w:left="284" w:hanging="142"/>
                      <w:rPr>
                        <w:rFonts w:ascii="Times New Roman" w:hAnsi="Times New Roman"/>
                        <w:sz w:val="16"/>
                        <w:szCs w:val="24"/>
                      </w:rPr>
                    </w:pPr>
                    <w:r>
                      <w:rPr>
                        <w:rFonts w:eastAsia="Calibri" w:cs="Arial"/>
                        <w:color w:val="000000"/>
                        <w:sz w:val="14"/>
                        <w:szCs w:val="18"/>
                        <w:highlight w:val="green"/>
                      </w:rPr>
                      <w:t>Anstossfinanzierungen grün hinterlegen</w:t>
                    </w:r>
                  </w:p>
                  <w:p>
                    <w:pPr>
                      <w:widowControl/>
                      <w:numPr>
                        <w:ilvl w:val="0"/>
                        <w:numId w:val="15"/>
                      </w:numPr>
                      <w:tabs>
                        <w:tab w:val="clear" w:pos="720"/>
                      </w:tabs>
                      <w:spacing w:line="240" w:lineRule="auto"/>
                      <w:ind w:left="284" w:hanging="142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4"/>
                      </w:rPr>
                      <w:t>KIP-Massnahmen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 arabische Nummern (1, 2, 3 etc.)</w:t>
                    </w:r>
                  </w:p>
                  <w:p>
                    <w:pPr>
                      <w:widowControl/>
                      <w:numPr>
                        <w:ilvl w:val="0"/>
                        <w:numId w:val="15"/>
                      </w:numPr>
                      <w:tabs>
                        <w:tab w:val="clear" w:pos="720"/>
                      </w:tabs>
                      <w:spacing w:line="240" w:lineRule="auto"/>
                      <w:ind w:left="284" w:hanging="142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4"/>
                      </w:rPr>
                      <w:t>IAS-Massnahmen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 römische Nummern (I, II, V etc.)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A5F35"/>
    <w:multiLevelType w:val="hybridMultilevel"/>
    <w:tmpl w:val="C194E6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28D2"/>
    <w:multiLevelType w:val="hybridMultilevel"/>
    <w:tmpl w:val="763AF24A"/>
    <w:lvl w:ilvl="0" w:tplc="8B84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8B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C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69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62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E2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0E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64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27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695BA8"/>
    <w:multiLevelType w:val="hybridMultilevel"/>
    <w:tmpl w:val="17DE13FA"/>
    <w:lvl w:ilvl="0" w:tplc="F1EEE8A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90F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7A4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69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0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A5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0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2A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86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ACA"/>
    <w:multiLevelType w:val="hybridMultilevel"/>
    <w:tmpl w:val="978A1B18"/>
    <w:lvl w:ilvl="0" w:tplc="B4E2CB0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01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D6D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A2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47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02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CA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0E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923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FC4"/>
    <w:multiLevelType w:val="hybridMultilevel"/>
    <w:tmpl w:val="C4F69B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0140F"/>
    <w:multiLevelType w:val="hybridMultilevel"/>
    <w:tmpl w:val="B588A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492C"/>
    <w:multiLevelType w:val="hybridMultilevel"/>
    <w:tmpl w:val="A9EC4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6C5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B3A9A"/>
    <w:multiLevelType w:val="hybridMultilevel"/>
    <w:tmpl w:val="102A645A"/>
    <w:lvl w:ilvl="0" w:tplc="34F06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CC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E2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A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0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68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A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84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A1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13444"/>
    <w:multiLevelType w:val="hybridMultilevel"/>
    <w:tmpl w:val="BBECE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F2CFF"/>
    <w:multiLevelType w:val="hybridMultilevel"/>
    <w:tmpl w:val="C06C62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0"/>
  </w:num>
  <w:num w:numId="17">
    <w:abstractNumId w:val="10"/>
  </w:num>
  <w:num w:numId="18">
    <w:abstractNumId w:val="15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emailbody" w:val="emailbody "/>
    <w:docVar w:name="dv_sprache" w:val="D"/>
    <w:docVar w:name="dv_strpath_user_ini" w:val="C:\Users\U80775031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</w:docVars>
  <w:rsids>
    <w:rsidRoot w:val="009675DB"/>
    <w:rsid w:val="009675DB"/>
    <w:rsid w:val="00BE2A7E"/>
    <w:rsid w:val="00E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B11B346"/>
  <w15:chartTrackingRefBased/>
  <w15:docId w15:val="{EC5AB773-827C-4009-A479-CC4BA07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80" w:lineRule="atLeast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pPr>
      <w:widowControl/>
    </w:pPr>
    <w:rPr>
      <w:b/>
    </w:rPr>
  </w:style>
  <w:style w:type="paragraph" w:customStyle="1" w:styleId="KopfDept">
    <w:name w:val="KopfDept"/>
    <w:basedOn w:val="Kopfzeile"/>
    <w:next w:val="KopfFett"/>
    <w:pPr>
      <w:widowControl/>
      <w:spacing w:after="100"/>
      <w:contextualSpacing/>
    </w:pPr>
  </w:style>
  <w:style w:type="paragraph" w:customStyle="1" w:styleId="75">
    <w:name w:val="7.5"/>
    <w:basedOn w:val="Standard"/>
    <w:pPr>
      <w:widowControl/>
      <w:spacing w:line="200" w:lineRule="exact"/>
    </w:pPr>
    <w:rPr>
      <w:sz w:val="15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fm-bob\LOCALS~1\Temp\Tempor&#228;res%20Verzeichnis%2035%20f&#252;r%2001-CD-Bund-Vorlagen-GS.zip\CD-Bund-Vorlagen-GS\Standard%20Formularvorlagen%20ohne%20Automation\FormA4quer_sw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KIP_2018-2021_Zielraster_Eingabe_d"/>
    <f:field ref="objsubject" par="" edit="true" text=""/>
    <f:field ref="objcreatedby" par="" text="Scheidegger, Franziska, sem-scd"/>
    <f:field ref="objcreatedat" par="" text="18.01.2017 09:23:21"/>
    <f:field ref="objchangedby" par="" text="Scheidegger, Franziska, sem-scd"/>
    <f:field ref="objmodifiedat" par="" text="19.01.2017 09:47:20"/>
    <f:field ref="doc_FSCFOLIO_1_1001_FieldDocumentNumber" par="" text=""/>
    <f:field ref="doc_FSCFOLIO_1_1001_FieldSubject" par="" edit="true" text=""/>
    <f:field ref="FSCFOLIO_1_1001_FieldCurrentUser" par="" text="Franziska Scheidegger"/>
    <f:field ref="CCAPRECONFIG_15_1001_Objektname" par="" edit="true" text="KIP_2018-2021_Zielraster_Eingabe_d"/>
    <f:field ref="CHPRECONFIG_1_1001_Objektname" par="" edit="true" text="KIP_2018-2021_Zielraster_Eingabe_d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E621D1-D517-4DD6-98CC-A1D98FE3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FormA4quer_sw_d</Template>
  <TotalTime>0</TotalTime>
  <Pages>8</Pages>
  <Words>830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Eingabe KIP 2018-2021 (Termin: 31. Mai 2017) : Zielraster</vt:lpstr>
    </vt:vector>
  </TitlesOfParts>
  <Company>EJPD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Eingabe KIP 2018-2021 (Termin: 31. Mai 2017) : Zielraster</dc:title>
  <dc:subject/>
  <dc:creator>Franziska Scheidegger</dc:creator>
  <cp:keywords/>
  <dc:description/>
  <cp:lastModifiedBy>Franziska Scheidegger</cp:lastModifiedBy>
  <cp:revision>2</cp:revision>
  <cp:lastPrinted>2017-01-19T08:47:00Z</cp:lastPrinted>
  <dcterms:created xsi:type="dcterms:W3CDTF">2021-03-30T12:53:00Z</dcterms:created>
  <dcterms:modified xsi:type="dcterms:W3CDTF">2021-03-30T12:53:00Z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Salutation">
    <vt:lpwstr/>
  </property>
  <property fmtid="{D5CDD505-2E9C-101B-9397-08002B2CF9AE}" pid="3" name="FSC#EJPDCFG@15.1700:RecipientTitle">
    <vt:lpwstr/>
  </property>
  <property fmtid="{D5CDD505-2E9C-101B-9397-08002B2CF9AE}" pid="4" name="FSC#EJPDCFG@15.1700:RecipientFirstname">
    <vt:lpwstr/>
  </property>
  <property fmtid="{D5CDD505-2E9C-101B-9397-08002B2CF9AE}" pid="5" name="FSC#EJPDCFG@15.1700:RecipientSurname">
    <vt:lpwstr/>
  </property>
  <property fmtid="{D5CDD505-2E9C-101B-9397-08002B2CF9AE}" pid="6" name="FSC#EJPDCFG@15.1700:RecipientStreet">
    <vt:lpwstr/>
  </property>
  <property fmtid="{D5CDD505-2E9C-101B-9397-08002B2CF9AE}" pid="7" name="FSC#EJPDCFG@15.1700:RecipientPOBox">
    <vt:lpwstr/>
  </property>
  <property fmtid="{D5CDD505-2E9C-101B-9397-08002B2CF9AE}" pid="8" name="FSC#EJPDCFG@15.1700:RecipientZIPCode">
    <vt:lpwstr/>
  </property>
  <property fmtid="{D5CDD505-2E9C-101B-9397-08002B2CF9AE}" pid="9" name="FSC#EJPDCFG@15.1700:RecipientCity">
    <vt:lpwstr/>
  </property>
  <property fmtid="{D5CDD505-2E9C-101B-9397-08002B2CF9AE}" pid="10" name="FSC#EJPDCFG@15.1700:RecipientCountry">
    <vt:lpwstr/>
  </property>
  <property fmtid="{D5CDD505-2E9C-101B-9397-08002B2CF9AE}" pid="11" name="FSC#EJPDCFG@15.1700:RecipientOrgname">
    <vt:lpwstr/>
  </property>
  <property fmtid="{D5CDD505-2E9C-101B-9397-08002B2CF9AE}" pid="12" name="FSC#EJPDCFG@15.1700:RecipientEMail">
    <vt:lpwstr/>
  </property>
  <property fmtid="{D5CDD505-2E9C-101B-9397-08002B2CF9AE}" pid="13" name="FSC#EJPDCFG@15.1700:RecipientContactSalutation">
    <vt:lpwstr/>
  </property>
  <property fmtid="{D5CDD505-2E9C-101B-9397-08002B2CF9AE}" pid="14" name="FSC#EJPDCFG@15.1700:RecipientContactFirstname">
    <vt:lpwstr/>
  </property>
  <property fmtid="{D5CDD505-2E9C-101B-9397-08002B2CF9AE}" pid="15" name="FSC#EJPDCFG@15.1700:RecipientContactSurname">
    <vt:lpwstr/>
  </property>
  <property fmtid="{D5CDD505-2E9C-101B-9397-08002B2CF9AE}" pid="16" name="FSC#EJPDCFG@15.1700:RecipientDate">
    <vt:lpwstr/>
  </property>
  <property fmtid="{D5CDD505-2E9C-101B-9397-08002B2CF9AE}" pid="17" name="FSC#EJPDCFG@15.1700:SubfileTitle">
    <vt:lpwstr>KIP 2018-2021: Zielraster Eingabe_d</vt:lpwstr>
  </property>
  <property fmtid="{D5CDD505-2E9C-101B-9397-08002B2CF9AE}" pid="18" name="FSC#EJPDCFG@15.1700:SubfileSubject">
    <vt:lpwstr>KIP 2018-2021: Zielraster Eingabe_d</vt:lpwstr>
  </property>
  <property fmtid="{D5CDD505-2E9C-101B-9397-08002B2CF9AE}" pid="19" name="FSC#EJPDCFG@15.1700:SubfileDossierRef">
    <vt:lpwstr>545-01/2017/00002</vt:lpwstr>
  </property>
  <property fmtid="{D5CDD505-2E9C-101B-9397-08002B2CF9AE}" pid="20" name="FSC#EJPDCFG@15.1700:SubfileResponsibleFirstname">
    <vt:lpwstr>Franziska</vt:lpwstr>
  </property>
  <property fmtid="{D5CDD505-2E9C-101B-9397-08002B2CF9AE}" pid="21" name="FSC#EJPDCFG@15.1700:SubfileResponsibleSurname">
    <vt:lpwstr>Scheidegger</vt:lpwstr>
  </property>
  <property fmtid="{D5CDD505-2E9C-101B-9397-08002B2CF9AE}" pid="22" name="FSC#EJPDCFG@15.1700:SubfileResponsibleProfession">
    <vt:lpwstr/>
  </property>
  <property fmtid="{D5CDD505-2E9C-101B-9397-08002B2CF9AE}" pid="23" name="FSC#EJPDCFG@15.1700:SubfileResponsibleInitials">
    <vt:lpwstr>sem-scd</vt:lpwstr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Remarks">
    <vt:lpwstr/>
  </property>
  <property fmtid="{D5CDD505-2E9C-101B-9397-08002B2CF9AE}" pid="27" name="FSC#EJPDCFG@15.1700:AssignmentExternalDate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PlacingPosition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SubfileClassification">
    <vt:lpwstr>Nicht klassifiziert</vt:lpwstr>
  </property>
  <property fmtid="{D5CDD505-2E9C-101B-9397-08002B2CF9AE}" pid="34" name="FSC#COOSYSTEM@1.1:Container">
    <vt:lpwstr>COO.2180.101.7.620361</vt:lpwstr>
  </property>
  <property fmtid="{D5CDD505-2E9C-101B-9397-08002B2CF9AE}" pid="35" name="FSC#COOELAK@1.1001:Subject">
    <vt:lpwstr/>
  </property>
  <property fmtid="{D5CDD505-2E9C-101B-9397-08002B2CF9AE}" pid="36" name="FSC#COOELAK@1.1001:FileReference">
    <vt:lpwstr>545-01/2014/00402</vt:lpwstr>
  </property>
  <property fmtid="{D5CDD505-2E9C-101B-9397-08002B2CF9AE}" pid="37" name="FSC#COOELAK@1.1001:FileRefYear">
    <vt:lpwstr>2014</vt:lpwstr>
  </property>
  <property fmtid="{D5CDD505-2E9C-101B-9397-08002B2CF9AE}" pid="38" name="FSC#COOELAK@1.1001:FileRefOrdinal">
    <vt:lpwstr>402</vt:lpwstr>
  </property>
  <property fmtid="{D5CDD505-2E9C-101B-9397-08002B2CF9AE}" pid="39" name="FSC#COOELAK@1.1001:FileRefOU">
    <vt:lpwstr>SIF</vt:lpwstr>
  </property>
  <property fmtid="{D5CDD505-2E9C-101B-9397-08002B2CF9AE}" pid="40" name="FSC#COOELAK@1.1001:Organization">
    <vt:lpwstr/>
  </property>
  <property fmtid="{D5CDD505-2E9C-101B-9397-08002B2CF9AE}" pid="41" name="FSC#COOELAK@1.1001:Owner">
    <vt:lpwstr>Scheidegger Franziska</vt:lpwstr>
  </property>
  <property fmtid="{D5CDD505-2E9C-101B-9397-08002B2CF9AE}" pid="42" name="FSC#COOELAK@1.1001:OwnerExtension">
    <vt:lpwstr>+41 58 465 86 03</vt:lpwstr>
  </property>
  <property fmtid="{D5CDD505-2E9C-101B-9397-08002B2CF9AE}" pid="43" name="FSC#COOELAK@1.1001:OwnerFaxExtension">
    <vt:lpwstr>+41 58 465 86 83</vt:lpwstr>
  </property>
  <property fmtid="{D5CDD505-2E9C-101B-9397-08002B2CF9AE}" pid="44" name="FSC#COOELAK@1.1001:DispatchedBy">
    <vt:lpwstr/>
  </property>
  <property fmtid="{D5CDD505-2E9C-101B-9397-08002B2CF9AE}" pid="45" name="FSC#COOELAK@1.1001:DispatchedAt">
    <vt:lpwstr/>
  </property>
  <property fmtid="{D5CDD505-2E9C-101B-9397-08002B2CF9AE}" pid="46" name="FSC#COOELAK@1.1001:ApprovedBy">
    <vt:lpwstr/>
  </property>
  <property fmtid="{D5CDD505-2E9C-101B-9397-08002B2CF9AE}" pid="47" name="FSC#COOELAK@1.1001:ApprovedAt">
    <vt:lpwstr/>
  </property>
  <property fmtid="{D5CDD505-2E9C-101B-9397-08002B2CF9AE}" pid="48" name="FSC#COOELAK@1.1001:Department">
    <vt:lpwstr>Sektion Integrationsförderung (SIF)</vt:lpwstr>
  </property>
  <property fmtid="{D5CDD505-2E9C-101B-9397-08002B2CF9AE}" pid="49" name="FSC#COOELAK@1.1001:CreatedAt">
    <vt:lpwstr>18.01.2017</vt:lpwstr>
  </property>
  <property fmtid="{D5CDD505-2E9C-101B-9397-08002B2CF9AE}" pid="50" name="FSC#COOELAK@1.1001:OU">
    <vt:lpwstr>Sektion Integrationsförderung (SIF)</vt:lpwstr>
  </property>
  <property fmtid="{D5CDD505-2E9C-101B-9397-08002B2CF9AE}" pid="51" name="FSC#COOELAK@1.1001:Priority">
    <vt:lpwstr> ()</vt:lpwstr>
  </property>
  <property fmtid="{D5CDD505-2E9C-101B-9397-08002B2CF9AE}" pid="52" name="FSC#COOELAK@1.1001:ObjBarCode">
    <vt:lpwstr>*COO.2180.101.7.620361*</vt:lpwstr>
  </property>
  <property fmtid="{D5CDD505-2E9C-101B-9397-08002B2CF9AE}" pid="53" name="FSC#COOELAK@1.1001:RefBarCode">
    <vt:lpwstr>*COO.2180.101.8.2041286*</vt:lpwstr>
  </property>
  <property fmtid="{D5CDD505-2E9C-101B-9397-08002B2CF9AE}" pid="54" name="FSC#COOELAK@1.1001:FileRefBarCode">
    <vt:lpwstr>*545-01/2014/00402*</vt:lpwstr>
  </property>
  <property fmtid="{D5CDD505-2E9C-101B-9397-08002B2CF9AE}" pid="55" name="FSC#COOELAK@1.1001:ExternalRef">
    <vt:lpwstr/>
  </property>
  <property fmtid="{D5CDD505-2E9C-101B-9397-08002B2CF9AE}" pid="56" name="FSC#COOELAK@1.1001:IncomingNumber">
    <vt:lpwstr/>
  </property>
  <property fmtid="{D5CDD505-2E9C-101B-9397-08002B2CF9AE}" pid="57" name="FSC#COOELAK@1.1001:IncomingSubject">
    <vt:lpwstr/>
  </property>
  <property fmtid="{D5CDD505-2E9C-101B-9397-08002B2CF9AE}" pid="58" name="FSC#COOELAK@1.1001:ProcessResponsible">
    <vt:lpwstr/>
  </property>
  <property fmtid="{D5CDD505-2E9C-101B-9397-08002B2CF9AE}" pid="59" name="FSC#COOELAK@1.1001:ProcessResponsiblePhone">
    <vt:lpwstr/>
  </property>
  <property fmtid="{D5CDD505-2E9C-101B-9397-08002B2CF9AE}" pid="60" name="FSC#COOELAK@1.1001:ProcessResponsibleMail">
    <vt:lpwstr/>
  </property>
  <property fmtid="{D5CDD505-2E9C-101B-9397-08002B2CF9AE}" pid="61" name="FSC#COOELAK@1.1001:ProcessResponsibleFax">
    <vt:lpwstr/>
  </property>
  <property fmtid="{D5CDD505-2E9C-101B-9397-08002B2CF9AE}" pid="62" name="FSC#COOELAK@1.1001:ApproverFirstName">
    <vt:lpwstr/>
  </property>
  <property fmtid="{D5CDD505-2E9C-101B-9397-08002B2CF9AE}" pid="63" name="FSC#COOELAK@1.1001:ApproverSurName">
    <vt:lpwstr/>
  </property>
  <property fmtid="{D5CDD505-2E9C-101B-9397-08002B2CF9AE}" pid="64" name="FSC#COOELAK@1.1001:ApproverTitle">
    <vt:lpwstr/>
  </property>
  <property fmtid="{D5CDD505-2E9C-101B-9397-08002B2CF9AE}" pid="65" name="FSC#COOELAK@1.1001:ExternalDate">
    <vt:lpwstr/>
  </property>
  <property fmtid="{D5CDD505-2E9C-101B-9397-08002B2CF9AE}" pid="66" name="FSC#COOELAK@1.1001:SettlementApprovedAt">
    <vt:lpwstr/>
  </property>
  <property fmtid="{D5CDD505-2E9C-101B-9397-08002B2CF9AE}" pid="67" name="FSC#COOELAK@1.1001:BaseNumber">
    <vt:lpwstr>545-01</vt:lpwstr>
  </property>
  <property fmtid="{D5CDD505-2E9C-101B-9397-08002B2CF9AE}" pid="68" name="FSC#COOELAK@1.1001:CurrentUserRolePos">
    <vt:lpwstr>Sachbearbeiter/in</vt:lpwstr>
  </property>
  <property fmtid="{D5CDD505-2E9C-101B-9397-08002B2CF9AE}" pid="69" name="FSC#COOELAK@1.1001:CurrentUserEmail">
    <vt:lpwstr>Franziska.Scheidegger@sem.admin.ch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EJPDCFG@15.1700:Department">
    <vt:lpwstr>Direktion</vt:lpwstr>
  </property>
  <property fmtid="{D5CDD505-2E9C-101B-9397-08002B2CF9AE}" pid="76" name="FSC#EJPDCFG@15.1700:DepartmentShort">
    <vt:lpwstr>DIR</vt:lpwstr>
  </property>
  <property fmtid="{D5CDD505-2E9C-101B-9397-08002B2CF9AE}" pid="77" name="FSC#EJPDCFG@15.1700:HierarchyFirstLevel">
    <vt:lpwstr>Direktion</vt:lpwstr>
  </property>
  <property fmtid="{D5CDD505-2E9C-101B-9397-08002B2CF9AE}" pid="78" name="FSC#EJPDCFG@15.1700:HierarchyFirstLevelShort">
    <vt:lpwstr>DIR</vt:lpwstr>
  </property>
  <property fmtid="{D5CDD505-2E9C-101B-9397-08002B2CF9AE}" pid="79" name="FSC#EJPDCFG@15.1700:HierarchySecondLevel">
    <vt:lpwstr>Direktionsbereich Zuwanderung und Integration</vt:lpwstr>
  </property>
  <property fmtid="{D5CDD505-2E9C-101B-9397-08002B2CF9AE}" pid="80" name="FSC#EJPDCFG@15.1700:HierarchyThirdLevel">
    <vt:lpwstr>Abteilung Integration</vt:lpwstr>
  </property>
  <property fmtid="{D5CDD505-2E9C-101B-9397-08002B2CF9AE}" pid="81" name="FSC#EJPDCFG@15.1700:HierarchyFourthLevel">
    <vt:lpwstr>Sektion Integrationsförderung</vt:lpwstr>
  </property>
  <property fmtid="{D5CDD505-2E9C-101B-9397-08002B2CF9AE}" pid="82" name="FSC#EJPDCFG@15.1700:HierarchyFifthLevel">
    <vt:lpwstr/>
  </property>
  <property fmtid="{D5CDD505-2E9C-101B-9397-08002B2CF9AE}" pid="83" name="FSC#EJPDCFG@15.1700:ObjaddressContentObject">
    <vt:lpwstr>COO.2180.101.7.620361</vt:lpwstr>
  </property>
  <property fmtid="{D5CDD505-2E9C-101B-9397-08002B2CF9AE}" pid="84" name="FSC#EJPDCFG@15.1700:SubfileResponsibleSalutation">
    <vt:lpwstr/>
  </property>
  <property fmtid="{D5CDD505-2E9C-101B-9397-08002B2CF9AE}" pid="85" name="FSC#EJPDCFG@15.1700:SubfileResponsibleTelOffice">
    <vt:lpwstr>+41 58 465 86 03</vt:lpwstr>
  </property>
  <property fmtid="{D5CDD505-2E9C-101B-9397-08002B2CF9AE}" pid="86" name="FSC#EJPDCFG@15.1700:SubfileResponsibleTelFax">
    <vt:lpwstr>+41 58 465 86 83</vt:lpwstr>
  </property>
  <property fmtid="{D5CDD505-2E9C-101B-9397-08002B2CF9AE}" pid="87" name="FSC#EJPDCFG@15.1700:SubfileResponsibleEmail">
    <vt:lpwstr>Franziska.Scheidegger@sem.admin.ch</vt:lpwstr>
  </property>
  <property fmtid="{D5CDD505-2E9C-101B-9397-08002B2CF9AE}" pid="88" name="FSC#EJPDCFG@15.1700:SubfileResponsibleUrl">
    <vt:lpwstr>www.sem.admin.ch</vt:lpwstr>
  </property>
  <property fmtid="{D5CDD505-2E9C-101B-9397-08002B2CF9AE}" pid="89" name="FSC#EJPDCFG@15.1700:SubfileResponsibleAddress">
    <vt:lpwstr>Quellenweg 6, 3003 Bern-Wabern</vt:lpwstr>
  </property>
  <property fmtid="{D5CDD505-2E9C-101B-9397-08002B2CF9AE}" pid="90" name="FSC#EJPDCFG@15.1700:FileRefOU">
    <vt:lpwstr>Sektion Integrationsförderung</vt:lpwstr>
  </property>
  <property fmtid="{D5CDD505-2E9C-101B-9397-08002B2CF9AE}" pid="91" name="FSC#EJPDCFG@15.1700:OU">
    <vt:lpwstr>Sektion Integrationsförderung</vt:lpwstr>
  </property>
  <property fmtid="{D5CDD505-2E9C-101B-9397-08002B2CF9AE}" pid="92" name="FSC#EJPDCFG@15.1700:Department2">
    <vt:lpwstr>Sektion Integrationsförderung</vt:lpwstr>
  </property>
  <property fmtid="{D5CDD505-2E9C-101B-9397-08002B2CF9AE}" pid="93" name="FSC#EJPDCFG@15.1700:Recipient">
    <vt:lpwstr/>
  </property>
  <property fmtid="{D5CDD505-2E9C-101B-9397-08002B2CF9AE}" pid="94" name="FSC#EJPDIMPORT@100.2000:Recipient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>Franziska Scheidegger</vt:lpwstr>
  </property>
  <property fmtid="{D5CDD505-2E9C-101B-9397-08002B2CF9AE}" pid="104" name="FSC#ATSTATECFG@1.1001:AgentPhone">
    <vt:lpwstr>+41 58 465 86 03</vt:lpwstr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/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545-01/2017/00002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