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B7" w:rsidRDefault="007719B7">
      <w:pPr>
        <w:rPr>
          <w:sz w:val="24"/>
          <w:szCs w:val="24"/>
          <w:lang w:val="it-IT"/>
        </w:rPr>
      </w:pPr>
    </w:p>
    <w:p w:rsidR="007719B7" w:rsidRDefault="007719B7">
      <w:pPr>
        <w:rPr>
          <w:sz w:val="24"/>
          <w:szCs w:val="24"/>
          <w:lang w:val="it-IT"/>
        </w:rPr>
      </w:pPr>
    </w:p>
    <w:p w:rsidR="007719B7" w:rsidRDefault="007719B7">
      <w:pPr>
        <w:rPr>
          <w:sz w:val="24"/>
          <w:szCs w:val="24"/>
          <w:lang w:val="it-IT"/>
        </w:rPr>
      </w:pPr>
    </w:p>
    <w:p w:rsidR="007719B7" w:rsidRDefault="007719B7">
      <w:pPr>
        <w:rPr>
          <w:sz w:val="24"/>
          <w:szCs w:val="24"/>
          <w:lang w:val="it-IT"/>
        </w:rPr>
      </w:pPr>
    </w:p>
    <w:p w:rsidR="007719B7" w:rsidRDefault="007719B7">
      <w:pPr>
        <w:rPr>
          <w:sz w:val="24"/>
          <w:szCs w:val="24"/>
          <w:lang w:val="it-IT"/>
        </w:rPr>
      </w:pPr>
    </w:p>
    <w:p w:rsidR="007719B7" w:rsidRDefault="00C645AB">
      <w:pPr>
        <w:jc w:val="center"/>
        <w:outlineLvl w:val="0"/>
        <w:rPr>
          <w:b/>
          <w:sz w:val="48"/>
          <w:szCs w:val="48"/>
          <w:lang w:val="it-IT"/>
        </w:rPr>
      </w:pPr>
      <w:r>
        <w:rPr>
          <w:b/>
          <w:sz w:val="48"/>
          <w:szCs w:val="48"/>
          <w:lang w:val="it-IT"/>
        </w:rPr>
        <w:t>Convenzione di programma</w:t>
      </w:r>
    </w:p>
    <w:p w:rsidR="007719B7" w:rsidRDefault="00C645AB">
      <w:pPr>
        <w:jc w:val="center"/>
        <w:outlineLvl w:val="0"/>
        <w:rPr>
          <w:b/>
          <w:szCs w:val="22"/>
          <w:lang w:val="it-IT"/>
        </w:rPr>
      </w:pPr>
      <w:r>
        <w:rPr>
          <w:b/>
          <w:szCs w:val="22"/>
          <w:lang w:val="it-IT"/>
        </w:rPr>
        <w:t>(contratto di diritto pubblico)</w:t>
      </w:r>
    </w:p>
    <w:p w:rsidR="007719B7" w:rsidRDefault="007719B7">
      <w:pPr>
        <w:jc w:val="center"/>
        <w:rPr>
          <w:b/>
          <w:szCs w:val="22"/>
          <w:lang w:val="it-IT"/>
        </w:rPr>
      </w:pPr>
    </w:p>
    <w:p w:rsidR="007719B7" w:rsidRDefault="007719B7">
      <w:pPr>
        <w:jc w:val="center"/>
        <w:rPr>
          <w:b/>
          <w:szCs w:val="22"/>
          <w:lang w:val="it-IT"/>
        </w:rPr>
      </w:pPr>
    </w:p>
    <w:p w:rsidR="007719B7" w:rsidRPr="00CA0560" w:rsidRDefault="00C645AB" w:rsidP="00CA0560">
      <w:pPr>
        <w:pStyle w:val="Listenabsatz"/>
        <w:numPr>
          <w:ilvl w:val="0"/>
          <w:numId w:val="45"/>
        </w:numPr>
        <w:jc w:val="center"/>
        <w:rPr>
          <w:b/>
          <w:szCs w:val="22"/>
          <w:lang w:val="it-IT"/>
        </w:rPr>
      </w:pPr>
      <w:r w:rsidRPr="00CA0560">
        <w:rPr>
          <w:b/>
          <w:szCs w:val="22"/>
          <w:lang w:val="it-IT"/>
        </w:rPr>
        <w:t xml:space="preserve">ai sensi dell’art. 20a </w:t>
      </w:r>
      <w:proofErr w:type="spellStart"/>
      <w:r w:rsidRPr="00CA0560">
        <w:rPr>
          <w:b/>
          <w:szCs w:val="22"/>
          <w:lang w:val="it-IT"/>
        </w:rPr>
        <w:t>LSu</w:t>
      </w:r>
      <w:proofErr w:type="spellEnd"/>
    </w:p>
    <w:p w:rsidR="007719B7" w:rsidRDefault="007719B7">
      <w:pPr>
        <w:jc w:val="center"/>
        <w:rPr>
          <w:b/>
          <w:szCs w:val="22"/>
          <w:lang w:val="it-IT"/>
        </w:rPr>
      </w:pPr>
    </w:p>
    <w:p w:rsidR="007719B7" w:rsidRDefault="007719B7">
      <w:pPr>
        <w:jc w:val="center"/>
        <w:rPr>
          <w:b/>
          <w:szCs w:val="22"/>
          <w:lang w:val="it-IT"/>
        </w:rPr>
      </w:pPr>
    </w:p>
    <w:p w:rsidR="007719B7" w:rsidRDefault="00C645AB">
      <w:pPr>
        <w:jc w:val="center"/>
        <w:rPr>
          <w:szCs w:val="22"/>
          <w:lang w:val="it-IT"/>
        </w:rPr>
      </w:pPr>
      <w:proofErr w:type="gramStart"/>
      <w:r>
        <w:rPr>
          <w:szCs w:val="22"/>
          <w:lang w:val="it-IT"/>
        </w:rPr>
        <w:t>tra</w:t>
      </w:r>
      <w:proofErr w:type="gramEnd"/>
    </w:p>
    <w:p w:rsidR="007719B7" w:rsidRDefault="007719B7">
      <w:pPr>
        <w:jc w:val="center"/>
        <w:rPr>
          <w:szCs w:val="22"/>
          <w:lang w:val="it-IT"/>
        </w:rPr>
      </w:pPr>
    </w:p>
    <w:p w:rsidR="007719B7" w:rsidRDefault="007719B7">
      <w:pPr>
        <w:jc w:val="center"/>
        <w:rPr>
          <w:szCs w:val="22"/>
          <w:lang w:val="it-IT"/>
        </w:rPr>
      </w:pPr>
    </w:p>
    <w:p w:rsidR="007719B7" w:rsidRDefault="007719B7">
      <w:pPr>
        <w:jc w:val="center"/>
        <w:rPr>
          <w:szCs w:val="22"/>
          <w:lang w:val="it-IT"/>
        </w:rPr>
      </w:pPr>
    </w:p>
    <w:p w:rsidR="007719B7" w:rsidRDefault="00C645AB">
      <w:pPr>
        <w:jc w:val="center"/>
        <w:rPr>
          <w:b/>
          <w:szCs w:val="22"/>
          <w:lang w:val="it-IT"/>
        </w:rPr>
      </w:pPr>
      <w:proofErr w:type="gramStart"/>
      <w:r>
        <w:rPr>
          <w:b/>
          <w:szCs w:val="22"/>
          <w:lang w:val="it-IT"/>
        </w:rPr>
        <w:t>la</w:t>
      </w:r>
      <w:proofErr w:type="gramEnd"/>
      <w:r>
        <w:rPr>
          <w:b/>
          <w:szCs w:val="22"/>
          <w:lang w:val="it-IT"/>
        </w:rPr>
        <w:t xml:space="preserve"> Confederazione Svizzera </w:t>
      </w:r>
    </w:p>
    <w:p w:rsidR="007719B7" w:rsidRDefault="00C645AB">
      <w:pPr>
        <w:jc w:val="center"/>
        <w:rPr>
          <w:szCs w:val="22"/>
          <w:lang w:val="it-IT"/>
        </w:rPr>
      </w:pPr>
      <w:proofErr w:type="gramStart"/>
      <w:r>
        <w:rPr>
          <w:szCs w:val="22"/>
          <w:lang w:val="it-IT"/>
        </w:rPr>
        <w:t>rappresentata</w:t>
      </w:r>
      <w:proofErr w:type="gramEnd"/>
      <w:r>
        <w:rPr>
          <w:szCs w:val="22"/>
          <w:lang w:val="it-IT"/>
        </w:rPr>
        <w:t xml:space="preserve"> dall’Ufficio federale della migrazione, Quellenweg 6, 3003 </w:t>
      </w:r>
      <w:proofErr w:type="spellStart"/>
      <w:r>
        <w:rPr>
          <w:szCs w:val="22"/>
          <w:lang w:val="it-IT"/>
        </w:rPr>
        <w:t>Berna-Wabern</w:t>
      </w:r>
      <w:proofErr w:type="spellEnd"/>
    </w:p>
    <w:p w:rsidR="007719B7" w:rsidRDefault="007719B7">
      <w:pPr>
        <w:jc w:val="center"/>
        <w:rPr>
          <w:b/>
          <w:szCs w:val="22"/>
          <w:lang w:val="it-IT"/>
        </w:rPr>
      </w:pPr>
    </w:p>
    <w:p w:rsidR="007719B7" w:rsidRDefault="00C645AB">
      <w:pPr>
        <w:jc w:val="center"/>
        <w:rPr>
          <w:szCs w:val="22"/>
          <w:lang w:val="it-IT"/>
        </w:rPr>
      </w:pPr>
      <w:r>
        <w:rPr>
          <w:szCs w:val="22"/>
          <w:lang w:val="it-IT"/>
        </w:rPr>
        <w:t>in seguito l’Ufficio federale</w:t>
      </w:r>
    </w:p>
    <w:p w:rsidR="007719B7" w:rsidRDefault="007719B7">
      <w:pPr>
        <w:jc w:val="center"/>
        <w:rPr>
          <w:b/>
          <w:szCs w:val="22"/>
          <w:lang w:val="it-IT"/>
        </w:rPr>
      </w:pPr>
    </w:p>
    <w:p w:rsidR="007719B7" w:rsidRDefault="007719B7">
      <w:pPr>
        <w:jc w:val="center"/>
        <w:rPr>
          <w:b/>
          <w:szCs w:val="22"/>
          <w:lang w:val="it-IT"/>
        </w:rPr>
      </w:pPr>
    </w:p>
    <w:p w:rsidR="007719B7" w:rsidRDefault="007719B7">
      <w:pPr>
        <w:jc w:val="center"/>
        <w:rPr>
          <w:b/>
          <w:szCs w:val="22"/>
          <w:lang w:val="it-IT"/>
        </w:rPr>
      </w:pPr>
    </w:p>
    <w:p w:rsidR="007719B7" w:rsidRDefault="00C645AB">
      <w:pPr>
        <w:jc w:val="center"/>
        <w:rPr>
          <w:szCs w:val="22"/>
          <w:lang w:val="it-IT"/>
        </w:rPr>
      </w:pPr>
      <w:proofErr w:type="gramStart"/>
      <w:r>
        <w:rPr>
          <w:szCs w:val="22"/>
          <w:lang w:val="it-IT"/>
        </w:rPr>
        <w:t>e</w:t>
      </w:r>
      <w:proofErr w:type="gramEnd"/>
    </w:p>
    <w:p w:rsidR="007719B7" w:rsidRDefault="007719B7">
      <w:pPr>
        <w:jc w:val="center"/>
        <w:rPr>
          <w:szCs w:val="22"/>
          <w:lang w:val="it-IT"/>
        </w:rPr>
      </w:pPr>
    </w:p>
    <w:p w:rsidR="007719B7" w:rsidRDefault="007719B7">
      <w:pPr>
        <w:jc w:val="center"/>
        <w:rPr>
          <w:szCs w:val="22"/>
          <w:lang w:val="it-IT"/>
        </w:rPr>
      </w:pPr>
    </w:p>
    <w:p w:rsidR="007719B7" w:rsidRDefault="007719B7">
      <w:pPr>
        <w:jc w:val="center"/>
        <w:rPr>
          <w:szCs w:val="22"/>
          <w:lang w:val="it-IT"/>
        </w:rPr>
      </w:pPr>
    </w:p>
    <w:p w:rsidR="007719B7" w:rsidRDefault="00C645AB">
      <w:pPr>
        <w:jc w:val="center"/>
        <w:outlineLvl w:val="0"/>
        <w:rPr>
          <w:b/>
          <w:szCs w:val="22"/>
          <w:lang w:val="it-IT"/>
        </w:rPr>
      </w:pPr>
      <w:proofErr w:type="gramStart"/>
      <w:r>
        <w:rPr>
          <w:b/>
          <w:szCs w:val="22"/>
          <w:lang w:val="it-IT"/>
        </w:rPr>
        <w:t xml:space="preserve">il Cantone </w:t>
      </w:r>
      <w:r>
        <w:rPr>
          <w:b/>
          <w:szCs w:val="22"/>
          <w:highlight w:val="yellow"/>
          <w:lang w:val="it-IT"/>
        </w:rPr>
        <w:t>XY</w:t>
      </w:r>
      <w:proofErr w:type="gramEnd"/>
    </w:p>
    <w:p w:rsidR="007719B7" w:rsidRDefault="00C645AB">
      <w:pPr>
        <w:jc w:val="center"/>
        <w:rPr>
          <w:szCs w:val="22"/>
          <w:lang w:val="it-IT"/>
        </w:rPr>
      </w:pPr>
      <w:proofErr w:type="gramStart"/>
      <w:r>
        <w:rPr>
          <w:szCs w:val="22"/>
          <w:highlight w:val="yellow"/>
          <w:lang w:val="it-IT"/>
        </w:rPr>
        <w:t>{</w:t>
      </w:r>
      <w:proofErr w:type="spellStart"/>
      <w:r>
        <w:rPr>
          <w:szCs w:val="22"/>
          <w:highlight w:val="yellow"/>
          <w:lang w:val="it-IT"/>
        </w:rPr>
        <w:t>ev</w:t>
      </w:r>
      <w:proofErr w:type="spellEnd"/>
      <w:r>
        <w:rPr>
          <w:szCs w:val="22"/>
          <w:highlight w:val="yellow"/>
          <w:lang w:val="it-IT"/>
        </w:rPr>
        <w:t>.</w:t>
      </w:r>
      <w:proofErr w:type="gramEnd"/>
      <w:r>
        <w:rPr>
          <w:szCs w:val="22"/>
          <w:highlight w:val="yellow"/>
          <w:lang w:val="it-IT"/>
        </w:rPr>
        <w:t xml:space="preserve"> rappresentato da} {indirizzo}</w:t>
      </w:r>
    </w:p>
    <w:p w:rsidR="007719B7" w:rsidRDefault="007719B7">
      <w:pPr>
        <w:jc w:val="center"/>
        <w:rPr>
          <w:szCs w:val="22"/>
          <w:lang w:val="it-IT"/>
        </w:rPr>
      </w:pPr>
    </w:p>
    <w:p w:rsidR="007719B7" w:rsidRDefault="00C645AB">
      <w:pPr>
        <w:jc w:val="center"/>
        <w:rPr>
          <w:szCs w:val="22"/>
          <w:lang w:val="it-IT"/>
        </w:rPr>
      </w:pPr>
      <w:r>
        <w:rPr>
          <w:szCs w:val="22"/>
          <w:lang w:val="it-IT"/>
        </w:rPr>
        <w:t>in merito</w:t>
      </w:r>
    </w:p>
    <w:p w:rsidR="007719B7" w:rsidRDefault="007719B7">
      <w:pPr>
        <w:jc w:val="center"/>
        <w:rPr>
          <w:szCs w:val="22"/>
          <w:lang w:val="it-IT"/>
        </w:rPr>
      </w:pPr>
    </w:p>
    <w:p w:rsidR="007719B7" w:rsidRDefault="007719B7">
      <w:pPr>
        <w:jc w:val="center"/>
        <w:rPr>
          <w:szCs w:val="22"/>
          <w:lang w:val="it-IT"/>
        </w:rPr>
      </w:pPr>
    </w:p>
    <w:p w:rsidR="007719B7" w:rsidRDefault="00C645AB">
      <w:pPr>
        <w:jc w:val="center"/>
        <w:rPr>
          <w:szCs w:val="22"/>
          <w:lang w:val="it-IT"/>
        </w:rPr>
      </w:pPr>
      <w:proofErr w:type="gramStart"/>
      <w:r>
        <w:rPr>
          <w:szCs w:val="22"/>
          <w:lang w:val="it-IT"/>
        </w:rPr>
        <w:t>all’</w:t>
      </w:r>
      <w:proofErr w:type="gramEnd"/>
      <w:r>
        <w:rPr>
          <w:szCs w:val="22"/>
          <w:lang w:val="it-IT"/>
        </w:rPr>
        <w:t xml:space="preserve">attuazione della promozione dell’integrazione specifica nel Cantone </w:t>
      </w:r>
      <w:r>
        <w:rPr>
          <w:szCs w:val="22"/>
          <w:highlight w:val="yellow"/>
          <w:lang w:val="it-IT"/>
        </w:rPr>
        <w:t>XY</w:t>
      </w:r>
    </w:p>
    <w:p w:rsidR="007719B7" w:rsidRDefault="00C645AB">
      <w:pPr>
        <w:jc w:val="center"/>
        <w:rPr>
          <w:szCs w:val="22"/>
        </w:rPr>
      </w:pPr>
      <w:proofErr w:type="gramStart"/>
      <w:r>
        <w:rPr>
          <w:szCs w:val="22"/>
          <w:lang w:val="it-CH"/>
        </w:rPr>
        <w:t>negli</w:t>
      </w:r>
      <w:proofErr w:type="gramEnd"/>
      <w:r>
        <w:rPr>
          <w:szCs w:val="22"/>
          <w:lang w:val="it-CH"/>
        </w:rPr>
        <w:t xml:space="preserve"> anni </w:t>
      </w:r>
      <w:r>
        <w:rPr>
          <w:szCs w:val="22"/>
        </w:rPr>
        <w:t>2014-2017</w:t>
      </w:r>
    </w:p>
    <w:p w:rsidR="007719B7" w:rsidRDefault="007719B7">
      <w:pPr>
        <w:jc w:val="center"/>
        <w:rPr>
          <w:szCs w:val="22"/>
          <w:lang w:val="it-IT"/>
        </w:rPr>
      </w:pPr>
    </w:p>
    <w:p w:rsidR="007719B7" w:rsidRDefault="00C645AB">
      <w:pPr>
        <w:numPr>
          <w:ilvl w:val="0"/>
          <w:numId w:val="2"/>
        </w:numPr>
        <w:tabs>
          <w:tab w:val="clear" w:pos="360"/>
        </w:tabs>
        <w:spacing w:line="240" w:lineRule="auto"/>
        <w:ind w:left="567" w:hanging="567"/>
        <w:rPr>
          <w:rFonts w:cs="Arial"/>
          <w:b/>
          <w:szCs w:val="22"/>
          <w:lang w:val="it-IT"/>
        </w:rPr>
      </w:pPr>
      <w:r>
        <w:rPr>
          <w:sz w:val="24"/>
          <w:szCs w:val="24"/>
          <w:lang w:val="it-IT"/>
        </w:rPr>
        <w:br w:type="page"/>
      </w:r>
      <w:r>
        <w:rPr>
          <w:rFonts w:cs="Arial"/>
          <w:b/>
          <w:szCs w:val="22"/>
          <w:lang w:val="it-IT"/>
        </w:rPr>
        <w:lastRenderedPageBreak/>
        <w:t>Premessa</w:t>
      </w:r>
    </w:p>
    <w:p w:rsidR="007719B7" w:rsidRDefault="007719B7">
      <w:pPr>
        <w:spacing w:line="240" w:lineRule="auto"/>
        <w:rPr>
          <w:lang w:val="it-IT"/>
        </w:rPr>
      </w:pPr>
    </w:p>
    <w:p w:rsidR="007719B7" w:rsidRDefault="00C645AB">
      <w:pPr>
        <w:spacing w:line="240" w:lineRule="auto"/>
        <w:rPr>
          <w:szCs w:val="22"/>
          <w:lang w:val="it-IT"/>
        </w:rPr>
      </w:pPr>
      <w:r>
        <w:rPr>
          <w:lang w:val="it-IT"/>
        </w:rPr>
        <w:t xml:space="preserve">Confederazione e Cantoni attribuiscono alla politica d’integrazione un’importanza cruciale. Una buona integrazione degli stranieri contribuisce all’attuazione della coesione sociale </w:t>
      </w:r>
      <w:r>
        <w:rPr>
          <w:szCs w:val="22"/>
          <w:lang w:val="it-IT"/>
        </w:rPr>
        <w:t>e al futuro della Svizzera come piazza economica.</w:t>
      </w:r>
    </w:p>
    <w:p w:rsidR="007719B7" w:rsidRDefault="007719B7">
      <w:pPr>
        <w:spacing w:line="240" w:lineRule="auto"/>
        <w:rPr>
          <w:szCs w:val="22"/>
          <w:lang w:val="it-IT"/>
        </w:rPr>
      </w:pPr>
    </w:p>
    <w:p w:rsidR="007719B7" w:rsidRDefault="00C645AB">
      <w:pPr>
        <w:spacing w:line="240" w:lineRule="auto"/>
        <w:rPr>
          <w:lang w:val="it-IT"/>
        </w:rPr>
      </w:pPr>
      <w:r>
        <w:rPr>
          <w:szCs w:val="22"/>
          <w:lang w:val="it-IT"/>
        </w:rPr>
        <w:t xml:space="preserve">Pertanto il Consiglio federale e i governi cantonali riconoscono che la </w:t>
      </w:r>
      <w:proofErr w:type="gramStart"/>
      <w:r>
        <w:rPr>
          <w:szCs w:val="22"/>
          <w:lang w:val="it-IT"/>
        </w:rPr>
        <w:t>promozione</w:t>
      </w:r>
      <w:proofErr w:type="gramEnd"/>
      <w:r>
        <w:rPr>
          <w:szCs w:val="22"/>
          <w:lang w:val="it-IT"/>
        </w:rPr>
        <w:t xml:space="preserve"> dell’integrazione rientra tra i mandati dello Stato e hanno concordato di basare la propria politica d’integrazione su principi fondamentali comuni</w:t>
      </w:r>
      <w:r>
        <w:rPr>
          <w:lang w:val="it-IT"/>
        </w:rPr>
        <w:t xml:space="preserve"> (cfr. documento di base del 23 n</w:t>
      </w:r>
      <w:r>
        <w:rPr>
          <w:lang w:val="it-IT"/>
        </w:rPr>
        <w:t>o</w:t>
      </w:r>
      <w:r>
        <w:rPr>
          <w:lang w:val="it-IT"/>
        </w:rPr>
        <w:t>vembre 2011 in allegato) con l’obiettivo di:</w:t>
      </w:r>
    </w:p>
    <w:p w:rsidR="007719B7" w:rsidRDefault="00C645AB">
      <w:pPr>
        <w:widowControl/>
        <w:numPr>
          <w:ilvl w:val="0"/>
          <w:numId w:val="35"/>
        </w:numPr>
        <w:spacing w:before="120" w:after="120" w:line="240" w:lineRule="auto"/>
        <w:ind w:left="714" w:hanging="357"/>
        <w:rPr>
          <w:lang w:val="it-IT"/>
        </w:rPr>
      </w:pPr>
      <w:proofErr w:type="gramStart"/>
      <w:r>
        <w:rPr>
          <w:lang w:val="it-IT"/>
        </w:rPr>
        <w:t>rafforzare</w:t>
      </w:r>
      <w:proofErr w:type="gramEnd"/>
      <w:r>
        <w:rPr>
          <w:lang w:val="it-IT"/>
        </w:rPr>
        <w:t xml:space="preserve"> la coesione sociale sulla base dei valori sanciti dalla Costituzione federale;</w:t>
      </w:r>
    </w:p>
    <w:p w:rsidR="007719B7" w:rsidRDefault="00C645AB">
      <w:pPr>
        <w:widowControl/>
        <w:numPr>
          <w:ilvl w:val="0"/>
          <w:numId w:val="35"/>
        </w:numPr>
        <w:spacing w:before="120" w:after="120" w:line="240" w:lineRule="auto"/>
        <w:ind w:left="714" w:hanging="357"/>
        <w:rPr>
          <w:lang w:val="it-IT"/>
        </w:rPr>
      </w:pPr>
      <w:proofErr w:type="gramStart"/>
      <w:r>
        <w:rPr>
          <w:lang w:val="it-IT"/>
        </w:rPr>
        <w:t>promuovere</w:t>
      </w:r>
      <w:proofErr w:type="gramEnd"/>
      <w:r>
        <w:rPr>
          <w:lang w:val="it-IT"/>
        </w:rPr>
        <w:t xml:space="preserve"> un atteggiamento di reciproca attenzione e tolleranza nella popolazione residente autoctona e straniera;</w:t>
      </w:r>
    </w:p>
    <w:p w:rsidR="007719B7" w:rsidRDefault="00C645AB">
      <w:pPr>
        <w:widowControl/>
        <w:numPr>
          <w:ilvl w:val="0"/>
          <w:numId w:val="35"/>
        </w:numPr>
        <w:spacing w:before="120" w:after="120" w:line="240" w:lineRule="auto"/>
        <w:ind w:left="714" w:hanging="357"/>
        <w:rPr>
          <w:lang w:val="it-IT"/>
        </w:rPr>
      </w:pPr>
      <w:proofErr w:type="gramStart"/>
      <w:r>
        <w:rPr>
          <w:lang w:val="it-IT"/>
        </w:rPr>
        <w:t>garantire</w:t>
      </w:r>
      <w:proofErr w:type="gramEnd"/>
      <w:r>
        <w:rPr>
          <w:lang w:val="it-IT"/>
        </w:rPr>
        <w:t xml:space="preserve"> agli stranieri pari opportunità di partecipazione alla vita economica, sociale e culturale della Svizzera.</w:t>
      </w:r>
    </w:p>
    <w:p w:rsidR="007719B7" w:rsidRDefault="007719B7">
      <w:pPr>
        <w:spacing w:line="240" w:lineRule="auto"/>
        <w:rPr>
          <w:rFonts w:cs="Arial"/>
          <w:szCs w:val="22"/>
          <w:lang w:val="it-IT"/>
        </w:rPr>
      </w:pPr>
    </w:p>
    <w:p w:rsidR="007719B7" w:rsidRDefault="00C645AB">
      <w:pPr>
        <w:numPr>
          <w:ilvl w:val="0"/>
          <w:numId w:val="2"/>
        </w:numPr>
        <w:tabs>
          <w:tab w:val="clear" w:pos="360"/>
        </w:tabs>
        <w:spacing w:line="240" w:lineRule="auto"/>
        <w:ind w:left="567" w:hanging="567"/>
        <w:rPr>
          <w:rFonts w:cs="Arial"/>
          <w:b/>
          <w:szCs w:val="22"/>
          <w:lang w:val="it-IT"/>
        </w:rPr>
      </w:pPr>
      <w:r>
        <w:rPr>
          <w:rFonts w:cs="Arial"/>
          <w:b/>
          <w:szCs w:val="22"/>
          <w:lang w:val="it-IT"/>
        </w:rPr>
        <w:t>Basi</w:t>
      </w:r>
    </w:p>
    <w:p w:rsidR="007719B7" w:rsidRDefault="007719B7">
      <w:pPr>
        <w:spacing w:line="240" w:lineRule="auto"/>
        <w:rPr>
          <w:rFonts w:cs="Arial"/>
          <w:szCs w:val="22"/>
          <w:lang w:val="it-IT"/>
        </w:rPr>
      </w:pPr>
    </w:p>
    <w:p w:rsidR="007719B7" w:rsidRDefault="00C645AB">
      <w:pPr>
        <w:spacing w:after="120" w:line="240" w:lineRule="auto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>Le basi di matrice federale della presente convenzione sono le seguenti:</w:t>
      </w:r>
    </w:p>
    <w:p w:rsidR="007719B7" w:rsidRDefault="00C645AB">
      <w:pPr>
        <w:numPr>
          <w:ilvl w:val="0"/>
          <w:numId w:val="1"/>
        </w:numPr>
        <w:spacing w:line="240" w:lineRule="auto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>Legge federale del 16 dicembre 2005 sugli stranieri (</w:t>
      </w:r>
      <w:proofErr w:type="spellStart"/>
      <w:proofErr w:type="gramStart"/>
      <w:r>
        <w:rPr>
          <w:rFonts w:cs="Arial"/>
          <w:szCs w:val="22"/>
          <w:lang w:val="it-IT"/>
        </w:rPr>
        <w:t>LStr</w:t>
      </w:r>
      <w:proofErr w:type="spellEnd"/>
      <w:proofErr w:type="gramEnd"/>
      <w:r>
        <w:rPr>
          <w:rFonts w:cs="Arial"/>
          <w:szCs w:val="22"/>
          <w:lang w:val="it-IT"/>
        </w:rPr>
        <w:t>; RS 142.20);</w:t>
      </w:r>
    </w:p>
    <w:p w:rsidR="007719B7" w:rsidRDefault="00C645AB">
      <w:pPr>
        <w:numPr>
          <w:ilvl w:val="0"/>
          <w:numId w:val="1"/>
        </w:numPr>
        <w:spacing w:line="240" w:lineRule="auto"/>
        <w:rPr>
          <w:rFonts w:cs="Arial"/>
          <w:szCs w:val="22"/>
          <w:lang w:val="it-IT"/>
        </w:rPr>
      </w:pPr>
      <w:proofErr w:type="gramStart"/>
      <w:r>
        <w:rPr>
          <w:rFonts w:cs="Arial"/>
          <w:szCs w:val="22"/>
          <w:lang w:val="it-IT"/>
        </w:rPr>
        <w:t>Ordinanza del 24 ottobre 2007 sull’integrazione degli stranieri (</w:t>
      </w:r>
      <w:proofErr w:type="spellStart"/>
      <w:r>
        <w:rPr>
          <w:rFonts w:cs="Arial"/>
          <w:szCs w:val="22"/>
          <w:lang w:val="it-IT"/>
        </w:rPr>
        <w:t>OIntS</w:t>
      </w:r>
      <w:proofErr w:type="spellEnd"/>
      <w:r>
        <w:rPr>
          <w:rFonts w:cs="Arial"/>
          <w:szCs w:val="22"/>
          <w:lang w:val="it-IT"/>
        </w:rPr>
        <w:t>; RS 142.205);</w:t>
      </w:r>
      <w:proofErr w:type="gramEnd"/>
    </w:p>
    <w:p w:rsidR="007719B7" w:rsidRDefault="00C645AB">
      <w:pPr>
        <w:numPr>
          <w:ilvl w:val="0"/>
          <w:numId w:val="1"/>
        </w:numPr>
        <w:spacing w:line="240" w:lineRule="auto"/>
        <w:rPr>
          <w:rFonts w:cs="Arial"/>
          <w:szCs w:val="22"/>
          <w:lang w:val="it-IT"/>
        </w:rPr>
      </w:pPr>
      <w:proofErr w:type="gramStart"/>
      <w:r>
        <w:rPr>
          <w:rFonts w:cs="Arial"/>
          <w:szCs w:val="22"/>
          <w:lang w:val="it-IT"/>
        </w:rPr>
        <w:t>Legge federale del 5 ottobre 1990 sugli aiuti finanziari e le indennità (</w:t>
      </w:r>
      <w:proofErr w:type="spellStart"/>
      <w:r>
        <w:rPr>
          <w:rFonts w:cs="Arial"/>
          <w:szCs w:val="22"/>
          <w:lang w:val="it-IT"/>
        </w:rPr>
        <w:t>LSu</w:t>
      </w:r>
      <w:proofErr w:type="spellEnd"/>
      <w:r>
        <w:rPr>
          <w:rFonts w:cs="Arial"/>
          <w:szCs w:val="22"/>
          <w:lang w:val="it-IT"/>
        </w:rPr>
        <w:t>; RS 616.1);</w:t>
      </w:r>
      <w:proofErr w:type="gramEnd"/>
    </w:p>
    <w:p w:rsidR="007719B7" w:rsidRDefault="00C645AB">
      <w:pPr>
        <w:numPr>
          <w:ilvl w:val="0"/>
          <w:numId w:val="1"/>
        </w:numPr>
        <w:spacing w:line="240" w:lineRule="auto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>Ordinanza </w:t>
      </w:r>
      <w:proofErr w:type="gramStart"/>
      <w:r>
        <w:rPr>
          <w:rFonts w:cs="Arial"/>
          <w:szCs w:val="22"/>
          <w:lang w:val="it-IT"/>
        </w:rPr>
        <w:t>2</w:t>
      </w:r>
      <w:proofErr w:type="gramEnd"/>
      <w:r>
        <w:rPr>
          <w:rFonts w:cs="Arial"/>
          <w:szCs w:val="22"/>
          <w:lang w:val="it-IT"/>
        </w:rPr>
        <w:t xml:space="preserve"> dell’11 agosto 1999 sull’asilo relativa alle questioni finanziarie (</w:t>
      </w:r>
      <w:proofErr w:type="spellStart"/>
      <w:r>
        <w:rPr>
          <w:rFonts w:cs="Arial"/>
          <w:szCs w:val="22"/>
          <w:lang w:val="it-IT"/>
        </w:rPr>
        <w:t>OAsi</w:t>
      </w:r>
      <w:proofErr w:type="spellEnd"/>
      <w:r>
        <w:rPr>
          <w:rFonts w:cs="Arial"/>
          <w:szCs w:val="22"/>
          <w:lang w:val="it-IT"/>
        </w:rPr>
        <w:t> 2; RS 142.312);</w:t>
      </w:r>
    </w:p>
    <w:p w:rsidR="007719B7" w:rsidRDefault="00C645AB">
      <w:pPr>
        <w:numPr>
          <w:ilvl w:val="0"/>
          <w:numId w:val="1"/>
        </w:numPr>
        <w:spacing w:line="240" w:lineRule="auto"/>
        <w:rPr>
          <w:rFonts w:cs="Arial"/>
          <w:szCs w:val="22"/>
          <w:lang w:val="it-IT"/>
        </w:rPr>
      </w:pPr>
      <w:proofErr w:type="gramStart"/>
      <w:r>
        <w:rPr>
          <w:rFonts w:cs="Arial"/>
          <w:szCs w:val="22"/>
          <w:lang w:val="it-IT"/>
        </w:rPr>
        <w:t xml:space="preserve">Circolare del </w:t>
      </w:r>
      <w:r w:rsidR="002973D4">
        <w:rPr>
          <w:rFonts w:cs="Arial"/>
          <w:szCs w:val="22"/>
          <w:lang w:val="it-IT"/>
        </w:rPr>
        <w:t>30 aprile</w:t>
      </w:r>
      <w:r>
        <w:rPr>
          <w:rFonts w:cs="Arial"/>
          <w:szCs w:val="22"/>
          <w:lang w:val="it-IT"/>
        </w:rPr>
        <w:t> 2013 “Richiesta di convenzione di programma, compreso il pr</w:t>
      </w:r>
      <w:r>
        <w:rPr>
          <w:rFonts w:cs="Arial"/>
          <w:szCs w:val="22"/>
          <w:lang w:val="it-IT"/>
        </w:rPr>
        <w:t>o</w:t>
      </w:r>
      <w:r>
        <w:rPr>
          <w:rFonts w:cs="Arial"/>
          <w:szCs w:val="22"/>
          <w:lang w:val="it-IT"/>
        </w:rPr>
        <w:t>gramma cantonale d’integrazione”.</w:t>
      </w:r>
      <w:proofErr w:type="gramEnd"/>
    </w:p>
    <w:p w:rsidR="007719B7" w:rsidRDefault="007719B7">
      <w:pPr>
        <w:spacing w:line="240" w:lineRule="auto"/>
        <w:rPr>
          <w:rFonts w:cs="Arial"/>
          <w:szCs w:val="22"/>
          <w:lang w:val="it-IT"/>
        </w:rPr>
      </w:pPr>
    </w:p>
    <w:p w:rsidR="007719B7" w:rsidRDefault="00C645AB">
      <w:pPr>
        <w:spacing w:after="120" w:line="240" w:lineRule="auto"/>
        <w:rPr>
          <w:rFonts w:cs="Arial"/>
          <w:szCs w:val="22"/>
          <w:lang w:val="it-IT"/>
        </w:rPr>
      </w:pPr>
      <w:bookmarkStart w:id="0" w:name="OLE_LINK6"/>
      <w:r>
        <w:rPr>
          <w:rFonts w:cs="Arial"/>
          <w:szCs w:val="22"/>
          <w:lang w:val="it-IT"/>
        </w:rPr>
        <w:t xml:space="preserve">La base di matrice cantonale della presente convenzione è il programma d’integrazione </w:t>
      </w:r>
      <w:proofErr w:type="gramStart"/>
      <w:r>
        <w:rPr>
          <w:rFonts w:cs="Arial"/>
          <w:szCs w:val="22"/>
          <w:lang w:val="it-IT"/>
        </w:rPr>
        <w:t>del</w:t>
      </w:r>
      <w:proofErr w:type="gramEnd"/>
      <w:r>
        <w:rPr>
          <w:rFonts w:cs="Arial"/>
          <w:szCs w:val="22"/>
          <w:lang w:val="it-IT"/>
        </w:rPr>
        <w:t xml:space="preserve"> Cantone del </w:t>
      </w:r>
      <w:r>
        <w:rPr>
          <w:rFonts w:cs="Arial"/>
          <w:szCs w:val="22"/>
          <w:highlight w:val="yellow"/>
          <w:lang w:val="it-IT"/>
        </w:rPr>
        <w:t>data</w:t>
      </w:r>
      <w:r>
        <w:rPr>
          <w:rFonts w:cs="Arial"/>
          <w:szCs w:val="22"/>
          <w:lang w:val="it-IT"/>
        </w:rPr>
        <w:t>, in particolare le disposizioni ivi menzionate al capitolo </w:t>
      </w:r>
      <w:proofErr w:type="spellStart"/>
      <w:r>
        <w:rPr>
          <w:rFonts w:cs="Arial"/>
          <w:szCs w:val="22"/>
          <w:highlight w:val="yellow"/>
          <w:lang w:val="it-IT"/>
        </w:rPr>
        <w:t>xxx</w:t>
      </w:r>
      <w:proofErr w:type="spellEnd"/>
      <w:r>
        <w:rPr>
          <w:rFonts w:cs="Arial"/>
          <w:szCs w:val="22"/>
          <w:lang w:val="it-IT"/>
        </w:rPr>
        <w:t>.</w:t>
      </w:r>
    </w:p>
    <w:p w:rsidR="007719B7" w:rsidRDefault="007719B7">
      <w:pPr>
        <w:spacing w:line="240" w:lineRule="auto"/>
        <w:rPr>
          <w:rFonts w:cs="Arial"/>
          <w:szCs w:val="22"/>
          <w:lang w:val="it-IT"/>
        </w:rPr>
      </w:pPr>
    </w:p>
    <w:p w:rsidR="007719B7" w:rsidRDefault="00C645AB">
      <w:pPr>
        <w:spacing w:after="120" w:line="240" w:lineRule="auto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>Le basi comuni della presente convenzione sono costituite da:</w:t>
      </w:r>
    </w:p>
    <w:p w:rsidR="007719B7" w:rsidRDefault="00C645AB">
      <w:pPr>
        <w:numPr>
          <w:ilvl w:val="0"/>
          <w:numId w:val="1"/>
        </w:numPr>
        <w:spacing w:line="240" w:lineRule="auto"/>
        <w:rPr>
          <w:rFonts w:cs="Arial"/>
          <w:szCs w:val="22"/>
          <w:lang w:val="it-IT"/>
        </w:rPr>
      </w:pPr>
      <w:r>
        <w:rPr>
          <w:lang w:val="it-IT"/>
        </w:rPr>
        <w:t>Rapporto e raccomandazioni della CTA del 29 giugno 2009 concernente lo sviluppo della politica d’integrazione svizzera;</w:t>
      </w:r>
    </w:p>
    <w:p w:rsidR="007719B7" w:rsidRDefault="00C645AB">
      <w:pPr>
        <w:numPr>
          <w:ilvl w:val="0"/>
          <w:numId w:val="1"/>
        </w:numPr>
        <w:spacing w:line="240" w:lineRule="auto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 xml:space="preserve">“Documento di base </w:t>
      </w:r>
      <w:proofErr w:type="gramStart"/>
      <w:r>
        <w:rPr>
          <w:rFonts w:cs="Arial"/>
          <w:szCs w:val="22"/>
          <w:lang w:val="it-IT"/>
        </w:rPr>
        <w:t>relativo alla</w:t>
      </w:r>
      <w:proofErr w:type="gramEnd"/>
      <w:r>
        <w:rPr>
          <w:rFonts w:cs="Arial"/>
          <w:szCs w:val="22"/>
          <w:lang w:val="it-IT"/>
        </w:rPr>
        <w:t xml:space="preserve"> sottoscrizione di accordi programmatici ai sensi dell’art. 20</w:t>
      </w:r>
      <w:r>
        <w:rPr>
          <w:rFonts w:cs="Arial"/>
          <w:i/>
          <w:szCs w:val="22"/>
          <w:lang w:val="it-IT"/>
        </w:rPr>
        <w:t>a</w:t>
      </w:r>
      <w:r>
        <w:rPr>
          <w:rFonts w:cs="Arial"/>
          <w:szCs w:val="22"/>
          <w:lang w:val="it-IT"/>
        </w:rPr>
        <w:t xml:space="preserve"> </w:t>
      </w:r>
      <w:proofErr w:type="spellStart"/>
      <w:r>
        <w:rPr>
          <w:rFonts w:cs="Arial"/>
          <w:szCs w:val="22"/>
          <w:lang w:val="it-IT"/>
        </w:rPr>
        <w:t>LSu</w:t>
      </w:r>
      <w:proofErr w:type="spellEnd"/>
      <w:r>
        <w:rPr>
          <w:rFonts w:cs="Arial"/>
          <w:szCs w:val="22"/>
          <w:lang w:val="it-IT"/>
        </w:rPr>
        <w:t>” del 23 novembre 2011.</w:t>
      </w:r>
    </w:p>
    <w:p w:rsidR="007719B7" w:rsidRDefault="007719B7">
      <w:pPr>
        <w:spacing w:line="240" w:lineRule="auto"/>
        <w:rPr>
          <w:rFonts w:cs="Arial"/>
          <w:szCs w:val="22"/>
          <w:lang w:val="it-IT"/>
        </w:rPr>
      </w:pPr>
    </w:p>
    <w:p w:rsidR="007719B7" w:rsidRDefault="007719B7">
      <w:pPr>
        <w:spacing w:line="240" w:lineRule="auto"/>
        <w:rPr>
          <w:rFonts w:cs="Arial"/>
          <w:szCs w:val="22"/>
          <w:lang w:val="it-IT"/>
        </w:rPr>
      </w:pPr>
    </w:p>
    <w:bookmarkEnd w:id="0"/>
    <w:p w:rsidR="007719B7" w:rsidRDefault="00C645AB">
      <w:pPr>
        <w:numPr>
          <w:ilvl w:val="0"/>
          <w:numId w:val="2"/>
        </w:numPr>
        <w:tabs>
          <w:tab w:val="clear" w:pos="360"/>
        </w:tabs>
        <w:spacing w:line="240" w:lineRule="auto"/>
        <w:ind w:left="567" w:hanging="567"/>
        <w:rPr>
          <w:rFonts w:cs="Arial"/>
          <w:b/>
          <w:szCs w:val="22"/>
          <w:lang w:val="it-IT"/>
        </w:rPr>
      </w:pPr>
      <w:r>
        <w:rPr>
          <w:rFonts w:cs="Arial"/>
          <w:b/>
          <w:szCs w:val="22"/>
          <w:lang w:val="it-IT"/>
        </w:rPr>
        <w:t>Durata della convenzione</w:t>
      </w:r>
    </w:p>
    <w:p w:rsidR="007719B7" w:rsidRDefault="007719B7">
      <w:pPr>
        <w:tabs>
          <w:tab w:val="left" w:pos="426"/>
        </w:tabs>
        <w:spacing w:line="240" w:lineRule="auto"/>
        <w:rPr>
          <w:rFonts w:cs="Arial"/>
          <w:szCs w:val="22"/>
          <w:lang w:val="it-IT"/>
        </w:rPr>
      </w:pPr>
    </w:p>
    <w:p w:rsidR="007719B7" w:rsidRDefault="00C645AB">
      <w:pPr>
        <w:tabs>
          <w:tab w:val="left" w:pos="426"/>
        </w:tabs>
        <w:spacing w:line="240" w:lineRule="auto"/>
        <w:rPr>
          <w:rFonts w:cs="Arial"/>
          <w:iCs/>
          <w:szCs w:val="22"/>
          <w:lang w:val="it-IT"/>
        </w:rPr>
      </w:pPr>
      <w:r>
        <w:rPr>
          <w:rFonts w:cs="Arial"/>
          <w:szCs w:val="22"/>
          <w:lang w:val="it-IT" w:eastAsia="it-IT"/>
        </w:rPr>
        <w:t>La presente convenzione di programma trova applicazione per il periodo compreso tra l’</w:t>
      </w:r>
      <w:r>
        <w:rPr>
          <w:rFonts w:cs="Arial"/>
          <w:iCs/>
          <w:szCs w:val="22"/>
          <w:lang w:val="it-IT"/>
        </w:rPr>
        <w:t>1 gennaio 2014 e il 31 dicembre 2017</w:t>
      </w:r>
      <w:r>
        <w:rPr>
          <w:rFonts w:cs="Arial"/>
          <w:szCs w:val="22"/>
          <w:lang w:val="it-IT" w:eastAsia="it-IT"/>
        </w:rPr>
        <w:t>, salvo il caso in cui singole disposizioni vincolino le parti oltre tale periodo</w:t>
      </w:r>
      <w:r>
        <w:rPr>
          <w:rFonts w:cs="Arial"/>
          <w:iCs/>
          <w:szCs w:val="22"/>
          <w:lang w:val="it-IT"/>
        </w:rPr>
        <w:t>.</w:t>
      </w:r>
    </w:p>
    <w:p w:rsidR="007719B7" w:rsidRDefault="007719B7">
      <w:pPr>
        <w:tabs>
          <w:tab w:val="left" w:pos="426"/>
        </w:tabs>
        <w:spacing w:line="240" w:lineRule="auto"/>
        <w:rPr>
          <w:rFonts w:cs="Arial"/>
          <w:szCs w:val="22"/>
          <w:lang w:val="it-IT"/>
        </w:rPr>
      </w:pPr>
    </w:p>
    <w:p w:rsidR="007719B7" w:rsidRDefault="007719B7">
      <w:pPr>
        <w:tabs>
          <w:tab w:val="left" w:pos="426"/>
        </w:tabs>
        <w:spacing w:line="240" w:lineRule="auto"/>
        <w:rPr>
          <w:rFonts w:cs="Arial"/>
          <w:szCs w:val="22"/>
          <w:lang w:val="it-IT"/>
        </w:rPr>
      </w:pPr>
    </w:p>
    <w:p w:rsidR="007719B7" w:rsidRDefault="00C645AB">
      <w:pPr>
        <w:numPr>
          <w:ilvl w:val="0"/>
          <w:numId w:val="2"/>
        </w:numPr>
        <w:tabs>
          <w:tab w:val="clear" w:pos="360"/>
        </w:tabs>
        <w:spacing w:line="240" w:lineRule="auto"/>
        <w:ind w:left="567" w:hanging="567"/>
        <w:rPr>
          <w:rFonts w:cs="Arial"/>
          <w:szCs w:val="22"/>
          <w:lang w:val="it-IT"/>
        </w:rPr>
      </w:pPr>
      <w:r>
        <w:rPr>
          <w:rFonts w:cs="Arial"/>
          <w:b/>
          <w:szCs w:val="22"/>
          <w:lang w:val="it-IT"/>
        </w:rPr>
        <w:t>Obiettivi programmatici strategici</w:t>
      </w:r>
    </w:p>
    <w:p w:rsidR="007719B7" w:rsidRDefault="007719B7">
      <w:pPr>
        <w:tabs>
          <w:tab w:val="left" w:pos="426"/>
        </w:tabs>
        <w:spacing w:line="240" w:lineRule="auto"/>
        <w:rPr>
          <w:rFonts w:cs="Arial"/>
          <w:szCs w:val="22"/>
          <w:highlight w:val="yellow"/>
          <w:lang w:val="it-IT"/>
        </w:rPr>
      </w:pPr>
    </w:p>
    <w:p w:rsidR="007719B7" w:rsidRDefault="00C645AB">
      <w:pPr>
        <w:tabs>
          <w:tab w:val="left" w:pos="426"/>
        </w:tabs>
        <w:spacing w:after="80" w:line="240" w:lineRule="auto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>Gli obiettivi programmatici strategici perseguiti dalle parti per mezzo della presente conve</w:t>
      </w:r>
      <w:r>
        <w:rPr>
          <w:rFonts w:cs="Arial"/>
          <w:szCs w:val="22"/>
          <w:lang w:val="it-IT"/>
        </w:rPr>
        <w:t>n</w:t>
      </w:r>
      <w:r>
        <w:rPr>
          <w:rFonts w:cs="Arial"/>
          <w:szCs w:val="22"/>
          <w:lang w:val="it-IT"/>
        </w:rPr>
        <w:t xml:space="preserve">zione sono definiti nel documento di base </w:t>
      </w:r>
      <w:proofErr w:type="gramStart"/>
      <w:r>
        <w:rPr>
          <w:rFonts w:cs="Arial"/>
          <w:szCs w:val="22"/>
          <w:lang w:val="it-IT"/>
        </w:rPr>
        <w:t>del</w:t>
      </w:r>
      <w:proofErr w:type="gramEnd"/>
      <w:r>
        <w:rPr>
          <w:rFonts w:cs="Arial"/>
          <w:szCs w:val="22"/>
          <w:lang w:val="it-IT"/>
        </w:rPr>
        <w:t xml:space="preserve"> </w:t>
      </w:r>
      <w:r>
        <w:rPr>
          <w:rFonts w:cs="Arial"/>
          <w:szCs w:val="22"/>
          <w:highlight w:val="yellow"/>
          <w:lang w:val="it-IT"/>
        </w:rPr>
        <w:t>data</w:t>
      </w:r>
      <w:r>
        <w:rPr>
          <w:rFonts w:cs="Arial"/>
          <w:szCs w:val="22"/>
          <w:lang w:val="it-IT"/>
        </w:rPr>
        <w:t xml:space="preserve"> (cfr. allegato) e riguardano i seguenti tre ambiti:</w:t>
      </w:r>
    </w:p>
    <w:p w:rsidR="007719B7" w:rsidRDefault="00C645AB">
      <w:pPr>
        <w:tabs>
          <w:tab w:val="left" w:pos="426"/>
        </w:tabs>
        <w:spacing w:line="240" w:lineRule="auto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br w:type="page"/>
      </w:r>
      <w:r>
        <w:rPr>
          <w:rFonts w:cs="Arial"/>
          <w:szCs w:val="22"/>
          <w:lang w:val="it-IT"/>
        </w:rPr>
        <w:lastRenderedPageBreak/>
        <w:t>1. Informazione e consulenza</w:t>
      </w:r>
    </w:p>
    <w:p w:rsidR="007719B7" w:rsidRDefault="00C645AB">
      <w:pPr>
        <w:tabs>
          <w:tab w:val="left" w:pos="426"/>
        </w:tabs>
        <w:spacing w:before="80" w:after="80" w:line="240" w:lineRule="auto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>2. Formazione e lavoro</w:t>
      </w:r>
    </w:p>
    <w:p w:rsidR="007719B7" w:rsidRDefault="00C645AB">
      <w:pPr>
        <w:tabs>
          <w:tab w:val="left" w:pos="426"/>
        </w:tabs>
        <w:spacing w:line="240" w:lineRule="auto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>3. Comunicazione e integrazione sociale</w:t>
      </w:r>
    </w:p>
    <w:p w:rsidR="007719B7" w:rsidRDefault="007719B7">
      <w:pPr>
        <w:tabs>
          <w:tab w:val="left" w:pos="426"/>
        </w:tabs>
        <w:spacing w:line="240" w:lineRule="auto"/>
        <w:rPr>
          <w:rFonts w:cs="Arial"/>
          <w:szCs w:val="22"/>
          <w:lang w:val="it-IT"/>
        </w:rPr>
      </w:pPr>
    </w:p>
    <w:p w:rsidR="007719B7" w:rsidRDefault="007719B7">
      <w:pPr>
        <w:tabs>
          <w:tab w:val="left" w:pos="426"/>
        </w:tabs>
        <w:spacing w:line="240" w:lineRule="auto"/>
        <w:rPr>
          <w:rFonts w:cs="Arial"/>
          <w:szCs w:val="22"/>
          <w:lang w:val="it-IT"/>
        </w:rPr>
      </w:pPr>
    </w:p>
    <w:p w:rsidR="007719B7" w:rsidRDefault="00C645AB">
      <w:pPr>
        <w:numPr>
          <w:ilvl w:val="0"/>
          <w:numId w:val="2"/>
        </w:numPr>
        <w:tabs>
          <w:tab w:val="clear" w:pos="360"/>
        </w:tabs>
        <w:spacing w:line="240" w:lineRule="auto"/>
        <w:ind w:left="567" w:hanging="567"/>
        <w:rPr>
          <w:rFonts w:cs="Arial"/>
          <w:szCs w:val="22"/>
          <w:lang w:val="it-IT"/>
        </w:rPr>
      </w:pPr>
      <w:r>
        <w:rPr>
          <w:rFonts w:cs="Arial"/>
          <w:b/>
          <w:szCs w:val="22"/>
          <w:lang w:val="it-IT"/>
        </w:rPr>
        <w:t>Oggetto della convenzione</w:t>
      </w:r>
    </w:p>
    <w:p w:rsidR="007719B7" w:rsidRDefault="007719B7">
      <w:pPr>
        <w:tabs>
          <w:tab w:val="left" w:pos="426"/>
        </w:tabs>
        <w:spacing w:line="240" w:lineRule="auto"/>
        <w:rPr>
          <w:rFonts w:cs="Arial"/>
          <w:szCs w:val="22"/>
          <w:lang w:val="it-IT"/>
        </w:rPr>
      </w:pPr>
    </w:p>
    <w:p w:rsidR="007719B7" w:rsidRDefault="00C645AB">
      <w:pPr>
        <w:spacing w:after="120" w:line="240" w:lineRule="auto"/>
        <w:ind w:left="567" w:hanging="567"/>
        <w:rPr>
          <w:rFonts w:cs="Arial"/>
          <w:i/>
          <w:szCs w:val="22"/>
          <w:lang w:val="it-IT"/>
        </w:rPr>
      </w:pPr>
      <w:r>
        <w:rPr>
          <w:rFonts w:cs="Arial"/>
          <w:i/>
          <w:szCs w:val="22"/>
          <w:lang w:val="it-IT"/>
        </w:rPr>
        <w:t>5.1</w:t>
      </w:r>
      <w:r>
        <w:rPr>
          <w:rFonts w:cs="Arial"/>
          <w:i/>
          <w:szCs w:val="22"/>
          <w:lang w:val="it-IT"/>
        </w:rPr>
        <w:tab/>
        <w:t xml:space="preserve">Prestazioni </w:t>
      </w:r>
      <w:proofErr w:type="gramStart"/>
      <w:r>
        <w:rPr>
          <w:rFonts w:cs="Arial"/>
          <w:i/>
          <w:szCs w:val="22"/>
          <w:lang w:val="it-IT"/>
        </w:rPr>
        <w:t>del</w:t>
      </w:r>
      <w:proofErr w:type="gramEnd"/>
      <w:r>
        <w:rPr>
          <w:rFonts w:cs="Arial"/>
          <w:i/>
          <w:szCs w:val="22"/>
          <w:lang w:val="it-IT"/>
        </w:rPr>
        <w:t xml:space="preserve"> Cantone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2551"/>
        <w:gridCol w:w="2800"/>
      </w:tblGrid>
      <w:tr w:rsidR="007719B7"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719B7" w:rsidRDefault="00C645AB">
            <w:pPr>
              <w:tabs>
                <w:tab w:val="left" w:pos="426"/>
              </w:tabs>
              <w:spacing w:before="60" w:after="60" w:line="240" w:lineRule="auto"/>
              <w:rPr>
                <w:rFonts w:cs="Arial"/>
                <w:b/>
                <w:sz w:val="20"/>
                <w:lang w:val="it-IT"/>
              </w:rPr>
            </w:pPr>
            <w:r>
              <w:rPr>
                <w:rFonts w:cs="Arial"/>
                <w:b/>
                <w:sz w:val="20"/>
                <w:lang w:val="it-IT"/>
              </w:rPr>
              <w:t xml:space="preserve">Obiettivi programmatici strategici di cui al documento di base </w:t>
            </w:r>
            <w:proofErr w:type="gramStart"/>
            <w:r>
              <w:rPr>
                <w:rFonts w:cs="Arial"/>
                <w:b/>
                <w:sz w:val="20"/>
                <w:lang w:val="it-IT"/>
              </w:rPr>
              <w:t>del</w:t>
            </w:r>
            <w:proofErr w:type="gramEnd"/>
            <w:r>
              <w:rPr>
                <w:rFonts w:cs="Arial"/>
                <w:b/>
                <w:sz w:val="20"/>
                <w:lang w:val="it-IT"/>
              </w:rPr>
              <w:t xml:space="preserve"> </w:t>
            </w:r>
            <w:r>
              <w:rPr>
                <w:rFonts w:cs="Arial"/>
                <w:b/>
                <w:sz w:val="20"/>
                <w:lang w:val="it-IT"/>
              </w:rPr>
              <w:br/>
              <w:t>23 novembre 2011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719B7" w:rsidRDefault="00C645AB">
            <w:pPr>
              <w:tabs>
                <w:tab w:val="left" w:pos="426"/>
              </w:tabs>
              <w:spacing w:before="60" w:after="60" w:line="240" w:lineRule="auto"/>
              <w:rPr>
                <w:rFonts w:cs="Arial"/>
                <w:b/>
                <w:sz w:val="20"/>
                <w:lang w:val="it-IT"/>
              </w:rPr>
            </w:pPr>
            <w:r>
              <w:rPr>
                <w:rFonts w:cs="Arial"/>
                <w:b/>
                <w:sz w:val="20"/>
                <w:lang w:val="it-IT"/>
              </w:rPr>
              <w:t xml:space="preserve">Obiettivi operativi </w:t>
            </w:r>
            <w:r>
              <w:rPr>
                <w:rFonts w:cs="Arial"/>
                <w:b/>
                <w:sz w:val="20"/>
                <w:lang w:val="it-IT"/>
              </w:rPr>
              <w:br/>
            </w:r>
            <w:proofErr w:type="gramStart"/>
            <w:r>
              <w:rPr>
                <w:rFonts w:cs="Arial"/>
                <w:b/>
                <w:sz w:val="20"/>
                <w:lang w:val="it-IT"/>
              </w:rPr>
              <w:t>(opzionale</w:t>
            </w:r>
            <w:proofErr w:type="gramEnd"/>
            <w:r>
              <w:rPr>
                <w:rFonts w:cs="Arial"/>
                <w:b/>
                <w:sz w:val="20"/>
                <w:lang w:val="it-IT"/>
              </w:rPr>
              <w:t>)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:rsidR="007719B7" w:rsidRDefault="00C645AB">
            <w:pPr>
              <w:tabs>
                <w:tab w:val="left" w:pos="426"/>
              </w:tabs>
              <w:spacing w:before="60" w:after="60" w:line="240" w:lineRule="auto"/>
              <w:rPr>
                <w:rFonts w:cs="Arial"/>
                <w:b/>
                <w:sz w:val="20"/>
                <w:lang w:val="it-IT"/>
              </w:rPr>
            </w:pPr>
            <w:r>
              <w:rPr>
                <w:rFonts w:cs="Arial"/>
                <w:b/>
                <w:sz w:val="20"/>
                <w:lang w:val="it-IT"/>
              </w:rPr>
              <w:t>Indicatore/</w:t>
            </w:r>
            <w:proofErr w:type="gramStart"/>
            <w:r>
              <w:rPr>
                <w:rFonts w:cs="Arial"/>
                <w:b/>
                <w:sz w:val="20"/>
                <w:lang w:val="it-IT"/>
              </w:rPr>
              <w:t>i</w:t>
            </w:r>
            <w:proofErr w:type="gramEnd"/>
            <w:r>
              <w:rPr>
                <w:rStyle w:val="Funotenzeichen"/>
                <w:rFonts w:cs="Arial"/>
                <w:b/>
                <w:sz w:val="20"/>
                <w:lang w:val="it-IT"/>
              </w:rPr>
              <w:footnoteReference w:id="1"/>
            </w:r>
          </w:p>
        </w:tc>
      </w:tr>
      <w:tr w:rsidR="007719B7">
        <w:tc>
          <w:tcPr>
            <w:tcW w:w="9179" w:type="dxa"/>
            <w:gridSpan w:val="3"/>
            <w:shd w:val="clear" w:color="auto" w:fill="A6A6A6"/>
          </w:tcPr>
          <w:p w:rsidR="007719B7" w:rsidRDefault="00C645AB">
            <w:pPr>
              <w:tabs>
                <w:tab w:val="left" w:pos="426"/>
              </w:tabs>
              <w:spacing w:before="60" w:after="60" w:line="240" w:lineRule="auto"/>
              <w:rPr>
                <w:rFonts w:cs="Arial"/>
                <w:b/>
                <w:sz w:val="20"/>
                <w:lang w:val="it-IT"/>
              </w:rPr>
            </w:pPr>
            <w:r>
              <w:rPr>
                <w:rFonts w:cs="Arial"/>
                <w:b/>
                <w:sz w:val="20"/>
                <w:lang w:val="it-IT"/>
              </w:rPr>
              <w:t xml:space="preserve">Pilastro </w:t>
            </w:r>
            <w:proofErr w:type="gramStart"/>
            <w:r>
              <w:rPr>
                <w:rFonts w:cs="Arial"/>
                <w:b/>
                <w:sz w:val="20"/>
                <w:lang w:val="it-IT"/>
              </w:rPr>
              <w:t>1</w:t>
            </w:r>
            <w:proofErr w:type="gramEnd"/>
            <w:r>
              <w:rPr>
                <w:rFonts w:cs="Arial"/>
                <w:b/>
                <w:sz w:val="20"/>
                <w:lang w:val="it-IT"/>
              </w:rPr>
              <w:t>: Informazione e consulenza</w:t>
            </w:r>
          </w:p>
        </w:tc>
      </w:tr>
      <w:tr w:rsidR="007719B7" w:rsidRPr="003C35BD">
        <w:tc>
          <w:tcPr>
            <w:tcW w:w="3828" w:type="dxa"/>
          </w:tcPr>
          <w:p w:rsidR="007719B7" w:rsidRDefault="00C645AB">
            <w:pPr>
              <w:widowControl/>
              <w:spacing w:before="60" w:after="60" w:line="240" w:lineRule="auto"/>
              <w:rPr>
                <w:rFonts w:cs="Arial"/>
                <w:sz w:val="20"/>
                <w:u w:val="single"/>
                <w:lang w:val="it-IT"/>
              </w:rPr>
            </w:pPr>
            <w:r>
              <w:rPr>
                <w:bCs/>
                <w:sz w:val="20"/>
                <w:u w:val="single"/>
                <w:lang w:val="it-IT"/>
              </w:rPr>
              <w:t xml:space="preserve">Prima informazione e fabbisogno in termini di </w:t>
            </w:r>
            <w:proofErr w:type="gramStart"/>
            <w:r>
              <w:rPr>
                <w:bCs/>
                <w:sz w:val="20"/>
                <w:u w:val="single"/>
                <w:lang w:val="it-IT"/>
              </w:rPr>
              <w:t>promozione</w:t>
            </w:r>
            <w:proofErr w:type="gramEnd"/>
            <w:r>
              <w:rPr>
                <w:bCs/>
                <w:sz w:val="20"/>
                <w:u w:val="single"/>
                <w:lang w:val="it-IT"/>
              </w:rPr>
              <w:t xml:space="preserve"> dell’integrazione</w:t>
            </w:r>
            <w:r>
              <w:rPr>
                <w:rFonts w:cs="Arial"/>
                <w:sz w:val="20"/>
                <w:u w:val="single"/>
                <w:lang w:val="it-IT"/>
              </w:rPr>
              <w:t>:</w:t>
            </w:r>
          </w:p>
          <w:p w:rsidR="007719B7" w:rsidRDefault="00C645AB">
            <w:pPr>
              <w:widowControl/>
              <w:numPr>
                <w:ilvl w:val="0"/>
                <w:numId w:val="40"/>
              </w:numPr>
              <w:tabs>
                <w:tab w:val="clear" w:pos="720"/>
              </w:tabs>
              <w:spacing w:before="60" w:after="60" w:line="240" w:lineRule="auto"/>
              <w:ind w:left="317" w:hanging="317"/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Tutte le persone che per la prima volta giungono in Svizzera da un Paese estero, con la prospettiva di rimanervi a lungo legalmente, si se</w:t>
            </w:r>
            <w:r>
              <w:rPr>
                <w:bCs/>
                <w:sz w:val="20"/>
                <w:lang w:val="it-IT"/>
              </w:rPr>
              <w:t>n</w:t>
            </w:r>
            <w:r>
              <w:rPr>
                <w:bCs/>
                <w:sz w:val="20"/>
                <w:lang w:val="it-IT"/>
              </w:rPr>
              <w:t xml:space="preserve">tono benvenute nel nostro Paese e </w:t>
            </w:r>
            <w:proofErr w:type="gramStart"/>
            <w:r>
              <w:rPr>
                <w:bCs/>
                <w:sz w:val="20"/>
                <w:lang w:val="it-IT"/>
              </w:rPr>
              <w:t>vengono</w:t>
            </w:r>
            <w:proofErr w:type="gramEnd"/>
            <w:r>
              <w:rPr>
                <w:bCs/>
                <w:sz w:val="20"/>
                <w:lang w:val="it-IT"/>
              </w:rPr>
              <w:t xml:space="preserve"> informate in merito ai pri</w:t>
            </w:r>
            <w:r>
              <w:rPr>
                <w:bCs/>
                <w:sz w:val="20"/>
                <w:lang w:val="it-IT"/>
              </w:rPr>
              <w:t>n</w:t>
            </w:r>
            <w:r>
              <w:rPr>
                <w:bCs/>
                <w:sz w:val="20"/>
                <w:lang w:val="it-IT"/>
              </w:rPr>
              <w:t>cipali aspetti della vita locale e alle offerte disponibili a sostegno della l</w:t>
            </w:r>
            <w:r>
              <w:rPr>
                <w:bCs/>
                <w:sz w:val="20"/>
                <w:lang w:val="it-IT"/>
              </w:rPr>
              <w:t>o</w:t>
            </w:r>
            <w:r>
              <w:rPr>
                <w:bCs/>
                <w:sz w:val="20"/>
                <w:lang w:val="it-IT"/>
              </w:rPr>
              <w:t>ro integrazione.</w:t>
            </w:r>
          </w:p>
          <w:p w:rsidR="007719B7" w:rsidRDefault="00C645AB">
            <w:pPr>
              <w:widowControl/>
              <w:numPr>
                <w:ilvl w:val="0"/>
                <w:numId w:val="40"/>
              </w:numPr>
              <w:tabs>
                <w:tab w:val="clear" w:pos="720"/>
              </w:tabs>
              <w:spacing w:before="60" w:after="60" w:line="240" w:lineRule="auto"/>
              <w:ind w:left="317" w:hanging="317"/>
              <w:rPr>
                <w:rFonts w:cs="Arial"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 xml:space="preserve">Ai migranti con particolari bisogni in termini </w:t>
            </w:r>
            <w:proofErr w:type="gramStart"/>
            <w:r>
              <w:rPr>
                <w:bCs/>
                <w:sz w:val="20"/>
                <w:lang w:val="it-IT"/>
              </w:rPr>
              <w:t xml:space="preserve">di </w:t>
            </w:r>
            <w:proofErr w:type="gramEnd"/>
            <w:r>
              <w:rPr>
                <w:bCs/>
                <w:sz w:val="20"/>
                <w:lang w:val="it-IT"/>
              </w:rPr>
              <w:t>integrazione sono offerte quanto prima, comunque entro un anno, idonee misure d’integrazione.</w:t>
            </w:r>
            <w:r>
              <w:rPr>
                <w:rStyle w:val="Funotenzeichen"/>
                <w:rFonts w:cs="Arial"/>
                <w:sz w:val="20"/>
              </w:rPr>
              <w:footnoteReference w:id="2"/>
            </w:r>
          </w:p>
        </w:tc>
        <w:tc>
          <w:tcPr>
            <w:tcW w:w="2551" w:type="dxa"/>
          </w:tcPr>
          <w:p w:rsidR="007719B7" w:rsidRDefault="007719B7">
            <w:pPr>
              <w:tabs>
                <w:tab w:val="left" w:pos="426"/>
              </w:tabs>
              <w:spacing w:before="60" w:after="60" w:line="240" w:lineRule="auto"/>
              <w:rPr>
                <w:rFonts w:cs="Arial"/>
                <w:sz w:val="20"/>
                <w:lang w:val="it-IT"/>
              </w:rPr>
            </w:pPr>
          </w:p>
        </w:tc>
        <w:tc>
          <w:tcPr>
            <w:tcW w:w="2800" w:type="dxa"/>
          </w:tcPr>
          <w:p w:rsidR="007719B7" w:rsidRDefault="007719B7">
            <w:pPr>
              <w:tabs>
                <w:tab w:val="left" w:pos="426"/>
              </w:tabs>
              <w:spacing w:before="60" w:after="60" w:line="240" w:lineRule="auto"/>
              <w:rPr>
                <w:rFonts w:cs="Arial"/>
                <w:sz w:val="20"/>
                <w:lang w:val="it-IT"/>
              </w:rPr>
            </w:pPr>
          </w:p>
        </w:tc>
      </w:tr>
      <w:tr w:rsidR="007719B7" w:rsidRPr="003C35BD">
        <w:tc>
          <w:tcPr>
            <w:tcW w:w="3828" w:type="dxa"/>
          </w:tcPr>
          <w:p w:rsidR="007719B7" w:rsidRDefault="00C645AB">
            <w:pPr>
              <w:widowControl/>
              <w:spacing w:before="60" w:after="60" w:line="240" w:lineRule="auto"/>
              <w:rPr>
                <w:bCs/>
                <w:sz w:val="20"/>
                <w:u w:val="single"/>
                <w:lang w:val="it-IT"/>
              </w:rPr>
            </w:pPr>
            <w:r>
              <w:rPr>
                <w:bCs/>
                <w:sz w:val="20"/>
                <w:u w:val="single"/>
                <w:lang w:val="it-IT"/>
              </w:rPr>
              <w:t>Consulenza:</w:t>
            </w:r>
          </w:p>
          <w:p w:rsidR="007719B7" w:rsidRDefault="00C645AB">
            <w:pPr>
              <w:widowControl/>
              <w:numPr>
                <w:ilvl w:val="0"/>
                <w:numId w:val="40"/>
              </w:numPr>
              <w:tabs>
                <w:tab w:val="clear" w:pos="720"/>
              </w:tabs>
              <w:spacing w:before="60" w:after="60" w:line="240" w:lineRule="auto"/>
              <w:ind w:left="317" w:hanging="317"/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 xml:space="preserve">I migranti sono informati e assistiti </w:t>
            </w:r>
            <w:proofErr w:type="gramStart"/>
            <w:r>
              <w:rPr>
                <w:bCs/>
                <w:sz w:val="20"/>
                <w:lang w:val="it-IT"/>
              </w:rPr>
              <w:t>in ordine all’</w:t>
            </w:r>
            <w:proofErr w:type="gramEnd"/>
            <w:r>
              <w:rPr>
                <w:bCs/>
                <w:sz w:val="20"/>
                <w:lang w:val="it-IT"/>
              </w:rPr>
              <w:t>acquisizione di idonee competenze linguistiche, alla gesti</w:t>
            </w:r>
            <w:r>
              <w:rPr>
                <w:bCs/>
                <w:sz w:val="20"/>
                <w:lang w:val="it-IT"/>
              </w:rPr>
              <w:t>o</w:t>
            </w:r>
            <w:r>
              <w:rPr>
                <w:bCs/>
                <w:sz w:val="20"/>
                <w:lang w:val="it-IT"/>
              </w:rPr>
              <w:t>ne della vita quotidiana e all’integrazione professionale e s</w:t>
            </w:r>
            <w:r>
              <w:rPr>
                <w:bCs/>
                <w:sz w:val="20"/>
                <w:lang w:val="it-IT"/>
              </w:rPr>
              <w:t>o</w:t>
            </w:r>
            <w:r>
              <w:rPr>
                <w:bCs/>
                <w:sz w:val="20"/>
                <w:lang w:val="it-IT"/>
              </w:rPr>
              <w:t>ciale.</w:t>
            </w:r>
          </w:p>
          <w:p w:rsidR="007719B7" w:rsidRDefault="00C645AB">
            <w:pPr>
              <w:widowControl/>
              <w:numPr>
                <w:ilvl w:val="0"/>
                <w:numId w:val="40"/>
              </w:numPr>
              <w:tabs>
                <w:tab w:val="clear" w:pos="720"/>
              </w:tabs>
              <w:spacing w:before="60" w:after="60" w:line="240" w:lineRule="auto"/>
              <w:ind w:left="317" w:hanging="317"/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 xml:space="preserve">Le istituzioni delle strutture ordinarie e altri diretti interessati </w:t>
            </w:r>
            <w:proofErr w:type="gramStart"/>
            <w:r>
              <w:rPr>
                <w:bCs/>
                <w:sz w:val="20"/>
                <w:lang w:val="it-IT"/>
              </w:rPr>
              <w:t>vengono</w:t>
            </w:r>
            <w:proofErr w:type="gramEnd"/>
            <w:r>
              <w:rPr>
                <w:bCs/>
                <w:sz w:val="20"/>
                <w:lang w:val="it-IT"/>
              </w:rPr>
              <w:t xml:space="preserve"> i</w:t>
            </w:r>
            <w:r>
              <w:rPr>
                <w:bCs/>
                <w:sz w:val="20"/>
                <w:lang w:val="it-IT"/>
              </w:rPr>
              <w:t>n</w:t>
            </w:r>
            <w:r>
              <w:rPr>
                <w:bCs/>
                <w:sz w:val="20"/>
                <w:lang w:val="it-IT"/>
              </w:rPr>
              <w:t>formati, assistiti e dispongono di un affiancamento nella loro azione volta a rimuovere gli impedimenti all’integrazione, nei processi di ape</w:t>
            </w:r>
            <w:r>
              <w:rPr>
                <w:bCs/>
                <w:sz w:val="20"/>
                <w:lang w:val="it-IT"/>
              </w:rPr>
              <w:t>r</w:t>
            </w:r>
            <w:r>
              <w:rPr>
                <w:bCs/>
                <w:sz w:val="20"/>
                <w:lang w:val="it-IT"/>
              </w:rPr>
              <w:t xml:space="preserve">tura </w:t>
            </w:r>
            <w:proofErr w:type="spellStart"/>
            <w:r>
              <w:rPr>
                <w:bCs/>
                <w:sz w:val="20"/>
                <w:lang w:val="it-IT"/>
              </w:rPr>
              <w:t>transculturale</w:t>
            </w:r>
            <w:proofErr w:type="spellEnd"/>
            <w:r>
              <w:rPr>
                <w:bCs/>
                <w:sz w:val="20"/>
                <w:lang w:val="it-IT"/>
              </w:rPr>
              <w:t xml:space="preserve"> e nella predisp</w:t>
            </w:r>
            <w:r>
              <w:rPr>
                <w:bCs/>
                <w:sz w:val="20"/>
                <w:lang w:val="it-IT"/>
              </w:rPr>
              <w:t>o</w:t>
            </w:r>
            <w:r>
              <w:rPr>
                <w:bCs/>
                <w:sz w:val="20"/>
                <w:lang w:val="it-IT"/>
              </w:rPr>
              <w:t>sizione di misure destinate a specifici gruppi target.</w:t>
            </w:r>
          </w:p>
          <w:p w:rsidR="007719B7" w:rsidRDefault="00C645AB">
            <w:pPr>
              <w:widowControl/>
              <w:numPr>
                <w:ilvl w:val="0"/>
                <w:numId w:val="40"/>
              </w:numPr>
              <w:tabs>
                <w:tab w:val="clear" w:pos="720"/>
              </w:tabs>
              <w:spacing w:before="60" w:after="60" w:line="240" w:lineRule="auto"/>
              <w:ind w:left="317" w:hanging="317"/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 xml:space="preserve">La popolazione </w:t>
            </w:r>
            <w:proofErr w:type="gramStart"/>
            <w:r>
              <w:rPr>
                <w:bCs/>
                <w:sz w:val="20"/>
                <w:lang w:val="it-IT"/>
              </w:rPr>
              <w:t>viene</w:t>
            </w:r>
            <w:proofErr w:type="gramEnd"/>
            <w:r>
              <w:rPr>
                <w:bCs/>
                <w:sz w:val="20"/>
                <w:lang w:val="it-IT"/>
              </w:rPr>
              <w:t xml:space="preserve"> informata sulla specifica situazione degli stranieri, sugli obiettivi e i principi fondament</w:t>
            </w:r>
            <w:r>
              <w:rPr>
                <w:bCs/>
                <w:sz w:val="20"/>
                <w:lang w:val="it-IT"/>
              </w:rPr>
              <w:t>a</w:t>
            </w:r>
            <w:r>
              <w:rPr>
                <w:bCs/>
                <w:sz w:val="20"/>
                <w:lang w:val="it-IT"/>
              </w:rPr>
              <w:t>li della politica d’integrazione e sulle misure di promozione dell’integrazione.</w:t>
            </w:r>
          </w:p>
        </w:tc>
        <w:tc>
          <w:tcPr>
            <w:tcW w:w="2551" w:type="dxa"/>
          </w:tcPr>
          <w:p w:rsidR="007719B7" w:rsidRDefault="007719B7">
            <w:pPr>
              <w:tabs>
                <w:tab w:val="left" w:pos="426"/>
              </w:tabs>
              <w:spacing w:before="60" w:after="60" w:line="240" w:lineRule="auto"/>
              <w:rPr>
                <w:rFonts w:cs="Arial"/>
                <w:sz w:val="20"/>
                <w:lang w:val="it-IT"/>
              </w:rPr>
            </w:pPr>
          </w:p>
        </w:tc>
        <w:tc>
          <w:tcPr>
            <w:tcW w:w="2800" w:type="dxa"/>
          </w:tcPr>
          <w:p w:rsidR="007719B7" w:rsidRDefault="007719B7">
            <w:pPr>
              <w:tabs>
                <w:tab w:val="left" w:pos="426"/>
              </w:tabs>
              <w:spacing w:before="60" w:after="60" w:line="240" w:lineRule="auto"/>
              <w:rPr>
                <w:rFonts w:cs="Arial"/>
                <w:sz w:val="20"/>
                <w:lang w:val="it-IT"/>
              </w:rPr>
            </w:pPr>
          </w:p>
        </w:tc>
      </w:tr>
    </w:tbl>
    <w:p w:rsidR="007719B7" w:rsidRDefault="00C645AB">
      <w:pPr>
        <w:rPr>
          <w:lang w:val="it-IT"/>
        </w:rPr>
      </w:pPr>
      <w:r>
        <w:rPr>
          <w:lang w:val="it-IT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2551"/>
        <w:gridCol w:w="2800"/>
      </w:tblGrid>
      <w:tr w:rsidR="007719B7" w:rsidRPr="003C35BD">
        <w:tc>
          <w:tcPr>
            <w:tcW w:w="3828" w:type="dxa"/>
            <w:tcBorders>
              <w:bottom w:val="single" w:sz="4" w:space="0" w:color="auto"/>
            </w:tcBorders>
          </w:tcPr>
          <w:p w:rsidR="007719B7" w:rsidRDefault="00C645AB">
            <w:pPr>
              <w:widowControl/>
              <w:spacing w:before="60" w:after="60" w:line="240" w:lineRule="auto"/>
              <w:rPr>
                <w:bCs/>
                <w:sz w:val="20"/>
                <w:u w:val="single"/>
                <w:lang w:val="it-IT"/>
              </w:rPr>
            </w:pPr>
            <w:r>
              <w:rPr>
                <w:bCs/>
                <w:sz w:val="20"/>
                <w:u w:val="single"/>
                <w:lang w:val="it-IT"/>
              </w:rPr>
              <w:lastRenderedPageBreak/>
              <w:t>Tutela dalla discriminazione:</w:t>
            </w:r>
          </w:p>
          <w:p w:rsidR="007719B7" w:rsidRDefault="00C645AB">
            <w:pPr>
              <w:widowControl/>
              <w:numPr>
                <w:ilvl w:val="0"/>
                <w:numId w:val="40"/>
              </w:numPr>
              <w:tabs>
                <w:tab w:val="clear" w:pos="720"/>
              </w:tabs>
              <w:spacing w:before="60" w:after="60" w:line="240" w:lineRule="auto"/>
              <w:ind w:left="317" w:hanging="317"/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 xml:space="preserve">Le istituzioni delle strutture ordinarie e altri diretti interessati </w:t>
            </w:r>
            <w:proofErr w:type="gramStart"/>
            <w:r>
              <w:rPr>
                <w:bCs/>
                <w:sz w:val="20"/>
                <w:lang w:val="it-IT"/>
              </w:rPr>
              <w:t>vengono</w:t>
            </w:r>
            <w:proofErr w:type="gramEnd"/>
            <w:r>
              <w:rPr>
                <w:bCs/>
                <w:sz w:val="20"/>
                <w:lang w:val="it-IT"/>
              </w:rPr>
              <w:t xml:space="preserve"> i</w:t>
            </w:r>
            <w:r>
              <w:rPr>
                <w:bCs/>
                <w:sz w:val="20"/>
                <w:lang w:val="it-IT"/>
              </w:rPr>
              <w:t>n</w:t>
            </w:r>
            <w:r>
              <w:rPr>
                <w:bCs/>
                <w:sz w:val="20"/>
                <w:lang w:val="it-IT"/>
              </w:rPr>
              <w:t>formati e assistiti in ordine a questi</w:t>
            </w:r>
            <w:r>
              <w:rPr>
                <w:bCs/>
                <w:sz w:val="20"/>
                <w:lang w:val="it-IT"/>
              </w:rPr>
              <w:t>o</w:t>
            </w:r>
            <w:r>
              <w:rPr>
                <w:bCs/>
                <w:sz w:val="20"/>
                <w:lang w:val="it-IT"/>
              </w:rPr>
              <w:t>ni concernenti la tutela dalla discr</w:t>
            </w:r>
            <w:r>
              <w:rPr>
                <w:bCs/>
                <w:sz w:val="20"/>
                <w:lang w:val="it-IT"/>
              </w:rPr>
              <w:t>i</w:t>
            </w:r>
            <w:r>
              <w:rPr>
                <w:bCs/>
                <w:sz w:val="20"/>
                <w:lang w:val="it-IT"/>
              </w:rPr>
              <w:t>minazione.</w:t>
            </w:r>
          </w:p>
          <w:p w:rsidR="007719B7" w:rsidRDefault="00C645AB">
            <w:pPr>
              <w:widowControl/>
              <w:numPr>
                <w:ilvl w:val="0"/>
                <w:numId w:val="40"/>
              </w:numPr>
              <w:tabs>
                <w:tab w:val="clear" w:pos="720"/>
              </w:tabs>
              <w:spacing w:before="60" w:after="60" w:line="240" w:lineRule="auto"/>
              <w:ind w:left="317" w:hanging="317"/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 xml:space="preserve">Le persone discriminate a causa della loro origine o razza </w:t>
            </w:r>
            <w:proofErr w:type="gramStart"/>
            <w:r>
              <w:rPr>
                <w:bCs/>
                <w:sz w:val="20"/>
                <w:lang w:val="it-IT"/>
              </w:rPr>
              <w:t>dispongono di</w:t>
            </w:r>
            <w:proofErr w:type="gramEnd"/>
            <w:r>
              <w:rPr>
                <w:bCs/>
                <w:sz w:val="20"/>
                <w:lang w:val="it-IT"/>
              </w:rPr>
              <w:t xml:space="preserve"> una consulenza competente e di adeguato sostegno.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719B7" w:rsidRDefault="007719B7">
            <w:pPr>
              <w:tabs>
                <w:tab w:val="left" w:pos="426"/>
              </w:tabs>
              <w:spacing w:before="60" w:after="60" w:line="240" w:lineRule="auto"/>
              <w:rPr>
                <w:rFonts w:cs="Arial"/>
                <w:sz w:val="20"/>
                <w:lang w:val="it-IT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7719B7" w:rsidRDefault="007719B7">
            <w:pPr>
              <w:tabs>
                <w:tab w:val="left" w:pos="426"/>
              </w:tabs>
              <w:spacing w:before="60" w:after="60" w:line="240" w:lineRule="auto"/>
              <w:rPr>
                <w:rFonts w:cs="Arial"/>
                <w:sz w:val="20"/>
                <w:lang w:val="it-IT"/>
              </w:rPr>
            </w:pPr>
          </w:p>
        </w:tc>
      </w:tr>
      <w:tr w:rsidR="007719B7">
        <w:tc>
          <w:tcPr>
            <w:tcW w:w="9179" w:type="dxa"/>
            <w:gridSpan w:val="3"/>
            <w:shd w:val="clear" w:color="auto" w:fill="A6A6A6"/>
          </w:tcPr>
          <w:p w:rsidR="007719B7" w:rsidRDefault="00C645AB">
            <w:pPr>
              <w:tabs>
                <w:tab w:val="left" w:pos="426"/>
              </w:tabs>
              <w:spacing w:before="60" w:after="60" w:line="240" w:lineRule="auto"/>
              <w:rPr>
                <w:rFonts w:cs="Arial"/>
                <w:b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 xml:space="preserve">Pilastro </w:t>
            </w:r>
            <w:proofErr w:type="gramStart"/>
            <w:r>
              <w:rPr>
                <w:b/>
                <w:bCs/>
                <w:sz w:val="20"/>
                <w:lang w:val="it-IT"/>
              </w:rPr>
              <w:t>2</w:t>
            </w:r>
            <w:proofErr w:type="gramEnd"/>
            <w:r>
              <w:rPr>
                <w:b/>
                <w:bCs/>
                <w:sz w:val="20"/>
                <w:lang w:val="it-IT"/>
              </w:rPr>
              <w:t>: Formazione e lavoro</w:t>
            </w:r>
          </w:p>
        </w:tc>
      </w:tr>
      <w:tr w:rsidR="007719B7" w:rsidRPr="003C35BD">
        <w:tc>
          <w:tcPr>
            <w:tcW w:w="3828" w:type="dxa"/>
          </w:tcPr>
          <w:p w:rsidR="007719B7" w:rsidRDefault="00C645AB">
            <w:pPr>
              <w:widowControl/>
              <w:spacing w:before="60" w:after="60" w:line="240" w:lineRule="auto"/>
              <w:rPr>
                <w:rFonts w:cs="Arial"/>
                <w:sz w:val="20"/>
                <w:u w:val="single"/>
                <w:lang w:val="it-IT"/>
              </w:rPr>
            </w:pPr>
            <w:r>
              <w:rPr>
                <w:rFonts w:cs="Arial"/>
                <w:sz w:val="20"/>
                <w:u w:val="single"/>
                <w:lang w:val="it-IT"/>
              </w:rPr>
              <w:t>Lingua:</w:t>
            </w:r>
          </w:p>
          <w:p w:rsidR="007719B7" w:rsidRDefault="00C645AB">
            <w:pPr>
              <w:widowControl/>
              <w:numPr>
                <w:ilvl w:val="0"/>
                <w:numId w:val="40"/>
              </w:numPr>
              <w:tabs>
                <w:tab w:val="clear" w:pos="720"/>
              </w:tabs>
              <w:spacing w:before="60" w:after="60" w:line="240" w:lineRule="auto"/>
              <w:ind w:left="317" w:hanging="317"/>
              <w:rPr>
                <w:rFonts w:cs="Arial"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 xml:space="preserve">Con riferimento a una delle lingue ufficiali del Paese, i migranti </w:t>
            </w:r>
            <w:proofErr w:type="gramStart"/>
            <w:r>
              <w:rPr>
                <w:bCs/>
                <w:sz w:val="20"/>
                <w:lang w:val="it-IT"/>
              </w:rPr>
              <w:t>dispo</w:t>
            </w:r>
            <w:r>
              <w:rPr>
                <w:bCs/>
                <w:sz w:val="20"/>
                <w:lang w:val="it-IT"/>
              </w:rPr>
              <w:t>n</w:t>
            </w:r>
            <w:r>
              <w:rPr>
                <w:bCs/>
                <w:sz w:val="20"/>
                <w:lang w:val="it-IT"/>
              </w:rPr>
              <w:t>gono delle</w:t>
            </w:r>
            <w:proofErr w:type="gramEnd"/>
            <w:r>
              <w:rPr>
                <w:bCs/>
                <w:sz w:val="20"/>
                <w:lang w:val="it-IT"/>
              </w:rPr>
              <w:t xml:space="preserve"> conoscenze necessarie per capire e farsi capire nella quot</w:t>
            </w:r>
            <w:r>
              <w:rPr>
                <w:bCs/>
                <w:sz w:val="20"/>
                <w:lang w:val="it-IT"/>
              </w:rPr>
              <w:t>i</w:t>
            </w:r>
            <w:r>
              <w:rPr>
                <w:bCs/>
                <w:sz w:val="20"/>
                <w:lang w:val="it-IT"/>
              </w:rPr>
              <w:t>dianità e adeguate alla loro situazi</w:t>
            </w:r>
            <w:r>
              <w:rPr>
                <w:bCs/>
                <w:sz w:val="20"/>
                <w:lang w:val="it-IT"/>
              </w:rPr>
              <w:t>o</w:t>
            </w:r>
            <w:r>
              <w:rPr>
                <w:bCs/>
                <w:sz w:val="20"/>
                <w:lang w:val="it-IT"/>
              </w:rPr>
              <w:t>ne lavorativa.</w:t>
            </w:r>
          </w:p>
        </w:tc>
        <w:tc>
          <w:tcPr>
            <w:tcW w:w="2551" w:type="dxa"/>
          </w:tcPr>
          <w:p w:rsidR="007719B7" w:rsidRDefault="007719B7">
            <w:pPr>
              <w:tabs>
                <w:tab w:val="left" w:pos="426"/>
              </w:tabs>
              <w:spacing w:before="60" w:after="60" w:line="240" w:lineRule="auto"/>
              <w:rPr>
                <w:rFonts w:cs="Arial"/>
                <w:sz w:val="20"/>
                <w:lang w:val="it-IT"/>
              </w:rPr>
            </w:pPr>
          </w:p>
        </w:tc>
        <w:tc>
          <w:tcPr>
            <w:tcW w:w="2800" w:type="dxa"/>
          </w:tcPr>
          <w:p w:rsidR="007719B7" w:rsidRDefault="007719B7">
            <w:pPr>
              <w:tabs>
                <w:tab w:val="left" w:pos="426"/>
              </w:tabs>
              <w:spacing w:before="60" w:after="60" w:line="240" w:lineRule="auto"/>
              <w:rPr>
                <w:rFonts w:cs="Arial"/>
                <w:sz w:val="20"/>
                <w:lang w:val="it-IT"/>
              </w:rPr>
            </w:pPr>
          </w:p>
        </w:tc>
      </w:tr>
      <w:tr w:rsidR="007719B7" w:rsidRPr="003C35BD">
        <w:tc>
          <w:tcPr>
            <w:tcW w:w="3828" w:type="dxa"/>
          </w:tcPr>
          <w:p w:rsidR="007719B7" w:rsidRDefault="00C645AB">
            <w:pPr>
              <w:widowControl/>
              <w:spacing w:before="60" w:after="60" w:line="240" w:lineRule="auto"/>
              <w:rPr>
                <w:rFonts w:cs="Arial"/>
                <w:sz w:val="20"/>
                <w:u w:val="single"/>
                <w:lang w:val="it-IT"/>
              </w:rPr>
            </w:pPr>
            <w:proofErr w:type="gramStart"/>
            <w:r>
              <w:rPr>
                <w:rFonts w:cs="Arial"/>
                <w:sz w:val="20"/>
                <w:u w:val="single"/>
                <w:lang w:val="it-IT"/>
              </w:rPr>
              <w:t>Promozione</w:t>
            </w:r>
            <w:proofErr w:type="gramEnd"/>
            <w:r>
              <w:rPr>
                <w:rFonts w:cs="Arial"/>
                <w:sz w:val="20"/>
                <w:u w:val="single"/>
                <w:lang w:val="it-IT"/>
              </w:rPr>
              <w:t xml:space="preserve"> della prima infanzia:</w:t>
            </w:r>
          </w:p>
          <w:p w:rsidR="007719B7" w:rsidRDefault="00C645AB">
            <w:pPr>
              <w:widowControl/>
              <w:numPr>
                <w:ilvl w:val="0"/>
                <w:numId w:val="40"/>
              </w:numPr>
              <w:tabs>
                <w:tab w:val="clear" w:pos="720"/>
              </w:tabs>
              <w:spacing w:before="60" w:after="60" w:line="240" w:lineRule="auto"/>
              <w:ind w:left="317" w:hanging="317"/>
              <w:rPr>
                <w:rFonts w:cs="Arial"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 xml:space="preserve">Le famiglie dei migranti </w:t>
            </w:r>
            <w:proofErr w:type="gramStart"/>
            <w:r>
              <w:rPr>
                <w:bCs/>
                <w:sz w:val="20"/>
                <w:lang w:val="it-IT"/>
              </w:rPr>
              <w:t>godono di</w:t>
            </w:r>
            <w:proofErr w:type="gramEnd"/>
            <w:r>
              <w:rPr>
                <w:bCs/>
                <w:sz w:val="20"/>
                <w:lang w:val="it-IT"/>
              </w:rPr>
              <w:t xml:space="preserve"> pari opportunità d’accesso alle offe</w:t>
            </w:r>
            <w:r>
              <w:rPr>
                <w:bCs/>
                <w:sz w:val="20"/>
                <w:lang w:val="it-IT"/>
              </w:rPr>
              <w:t>r</w:t>
            </w:r>
            <w:r>
              <w:rPr>
                <w:bCs/>
                <w:sz w:val="20"/>
                <w:lang w:val="it-IT"/>
              </w:rPr>
              <w:t>te in tema di promozione della prima infanzia adeguate alla loro situazione familiare.</w:t>
            </w:r>
          </w:p>
        </w:tc>
        <w:tc>
          <w:tcPr>
            <w:tcW w:w="2551" w:type="dxa"/>
          </w:tcPr>
          <w:p w:rsidR="007719B7" w:rsidRDefault="007719B7">
            <w:pPr>
              <w:tabs>
                <w:tab w:val="left" w:pos="426"/>
              </w:tabs>
              <w:spacing w:before="60" w:after="60" w:line="240" w:lineRule="auto"/>
              <w:rPr>
                <w:rFonts w:cs="Arial"/>
                <w:sz w:val="20"/>
                <w:lang w:val="it-IT"/>
              </w:rPr>
            </w:pPr>
          </w:p>
        </w:tc>
        <w:tc>
          <w:tcPr>
            <w:tcW w:w="2800" w:type="dxa"/>
          </w:tcPr>
          <w:p w:rsidR="007719B7" w:rsidRDefault="007719B7">
            <w:pPr>
              <w:tabs>
                <w:tab w:val="left" w:pos="426"/>
              </w:tabs>
              <w:spacing w:before="60" w:after="60" w:line="240" w:lineRule="auto"/>
              <w:rPr>
                <w:rFonts w:cs="Arial"/>
                <w:sz w:val="20"/>
                <w:lang w:val="it-IT"/>
              </w:rPr>
            </w:pPr>
          </w:p>
        </w:tc>
      </w:tr>
      <w:tr w:rsidR="007719B7" w:rsidRPr="003C35BD">
        <w:tc>
          <w:tcPr>
            <w:tcW w:w="3828" w:type="dxa"/>
            <w:tcBorders>
              <w:bottom w:val="single" w:sz="4" w:space="0" w:color="auto"/>
            </w:tcBorders>
          </w:tcPr>
          <w:p w:rsidR="007719B7" w:rsidRDefault="00C645AB">
            <w:pPr>
              <w:widowControl/>
              <w:spacing w:before="60" w:after="60" w:line="240" w:lineRule="auto"/>
              <w:rPr>
                <w:rFonts w:cs="Arial"/>
                <w:sz w:val="20"/>
                <w:u w:val="single"/>
                <w:lang w:val="it-IT"/>
              </w:rPr>
            </w:pPr>
            <w:r>
              <w:rPr>
                <w:rFonts w:cs="Arial"/>
                <w:sz w:val="20"/>
                <w:u w:val="single"/>
                <w:lang w:val="it-IT"/>
              </w:rPr>
              <w:t>Capacità di restare sul mercato del lav</w:t>
            </w:r>
            <w:r>
              <w:rPr>
                <w:rFonts w:cs="Arial"/>
                <w:sz w:val="20"/>
                <w:u w:val="single"/>
                <w:lang w:val="it-IT"/>
              </w:rPr>
              <w:t>o</w:t>
            </w:r>
            <w:r>
              <w:rPr>
                <w:rFonts w:cs="Arial"/>
                <w:sz w:val="20"/>
                <w:u w:val="single"/>
                <w:lang w:val="it-IT"/>
              </w:rPr>
              <w:t>ro:</w:t>
            </w:r>
          </w:p>
          <w:p w:rsidR="007719B7" w:rsidRDefault="00C645AB">
            <w:pPr>
              <w:widowControl/>
              <w:numPr>
                <w:ilvl w:val="0"/>
                <w:numId w:val="40"/>
              </w:numPr>
              <w:tabs>
                <w:tab w:val="clear" w:pos="720"/>
              </w:tabs>
              <w:spacing w:before="60" w:after="60" w:line="240" w:lineRule="auto"/>
              <w:ind w:left="317" w:hanging="317"/>
              <w:rPr>
                <w:rFonts w:cs="Arial"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 xml:space="preserve">I migranti che non hanno accesso alle offerte delle strutture ordinarie </w:t>
            </w:r>
            <w:proofErr w:type="gramStart"/>
            <w:r>
              <w:rPr>
                <w:bCs/>
                <w:sz w:val="20"/>
                <w:lang w:val="it-IT"/>
              </w:rPr>
              <w:t>dispongono di</w:t>
            </w:r>
            <w:proofErr w:type="gramEnd"/>
            <w:r>
              <w:rPr>
                <w:bCs/>
                <w:sz w:val="20"/>
                <w:lang w:val="it-IT"/>
              </w:rPr>
              <w:t xml:space="preserve"> un sostegno che m</w:t>
            </w:r>
            <w:r>
              <w:rPr>
                <w:bCs/>
                <w:sz w:val="20"/>
                <w:lang w:val="it-IT"/>
              </w:rPr>
              <w:t>i</w:t>
            </w:r>
            <w:r>
              <w:rPr>
                <w:bCs/>
                <w:sz w:val="20"/>
                <w:lang w:val="it-IT"/>
              </w:rPr>
              <w:t>gliora la loro capacità di restare sul mercato del lavoro.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719B7" w:rsidRDefault="007719B7">
            <w:pPr>
              <w:tabs>
                <w:tab w:val="left" w:pos="426"/>
              </w:tabs>
              <w:spacing w:before="60" w:after="60" w:line="240" w:lineRule="auto"/>
              <w:rPr>
                <w:rFonts w:cs="Arial"/>
                <w:sz w:val="20"/>
                <w:lang w:val="it-IT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7719B7" w:rsidRDefault="007719B7">
            <w:pPr>
              <w:tabs>
                <w:tab w:val="left" w:pos="426"/>
              </w:tabs>
              <w:spacing w:before="60" w:after="60" w:line="240" w:lineRule="auto"/>
              <w:rPr>
                <w:rFonts w:cs="Arial"/>
                <w:sz w:val="20"/>
                <w:lang w:val="it-IT"/>
              </w:rPr>
            </w:pPr>
          </w:p>
        </w:tc>
      </w:tr>
      <w:tr w:rsidR="007719B7" w:rsidRPr="003C35BD">
        <w:tc>
          <w:tcPr>
            <w:tcW w:w="9179" w:type="dxa"/>
            <w:gridSpan w:val="3"/>
            <w:shd w:val="clear" w:color="auto" w:fill="A6A6A6"/>
          </w:tcPr>
          <w:p w:rsidR="007719B7" w:rsidRDefault="00C645AB">
            <w:pPr>
              <w:tabs>
                <w:tab w:val="left" w:pos="426"/>
              </w:tabs>
              <w:spacing w:before="60" w:after="60" w:line="240" w:lineRule="auto"/>
              <w:rPr>
                <w:rFonts w:cs="Arial"/>
                <w:b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 xml:space="preserve">Pilastro </w:t>
            </w:r>
            <w:proofErr w:type="gramStart"/>
            <w:r>
              <w:rPr>
                <w:b/>
                <w:bCs/>
                <w:sz w:val="20"/>
                <w:lang w:val="it-IT"/>
              </w:rPr>
              <w:t>3</w:t>
            </w:r>
            <w:proofErr w:type="gramEnd"/>
            <w:r>
              <w:rPr>
                <w:b/>
                <w:bCs/>
                <w:sz w:val="20"/>
                <w:lang w:val="it-IT"/>
              </w:rPr>
              <w:t>: Comunicazione e integrazione sociale</w:t>
            </w:r>
          </w:p>
        </w:tc>
      </w:tr>
      <w:tr w:rsidR="007719B7" w:rsidRPr="003C35BD">
        <w:tc>
          <w:tcPr>
            <w:tcW w:w="3828" w:type="dxa"/>
          </w:tcPr>
          <w:p w:rsidR="007719B7" w:rsidRDefault="00C645AB">
            <w:pPr>
              <w:widowControl/>
              <w:spacing w:before="60" w:after="60" w:line="240" w:lineRule="auto"/>
              <w:rPr>
                <w:rFonts w:cs="Arial"/>
                <w:sz w:val="20"/>
                <w:u w:val="single"/>
                <w:lang w:val="it-IT"/>
              </w:rPr>
            </w:pPr>
            <w:r>
              <w:rPr>
                <w:rFonts w:cs="Arial"/>
                <w:sz w:val="20"/>
                <w:u w:val="single"/>
                <w:lang w:val="it-IT"/>
              </w:rPr>
              <w:t>Interpretariato interculturale:</w:t>
            </w:r>
          </w:p>
          <w:p w:rsidR="007719B7" w:rsidRDefault="00C645AB">
            <w:pPr>
              <w:widowControl/>
              <w:numPr>
                <w:ilvl w:val="0"/>
                <w:numId w:val="40"/>
              </w:numPr>
              <w:tabs>
                <w:tab w:val="clear" w:pos="720"/>
              </w:tabs>
              <w:spacing w:before="60" w:after="60" w:line="240" w:lineRule="auto"/>
              <w:ind w:left="317" w:hanging="317"/>
              <w:rPr>
                <w:rFonts w:cs="Arial"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I migranti e i collaboratori delle stru</w:t>
            </w:r>
            <w:r>
              <w:rPr>
                <w:bCs/>
                <w:sz w:val="20"/>
                <w:lang w:val="it-IT"/>
              </w:rPr>
              <w:t>t</w:t>
            </w:r>
            <w:r>
              <w:rPr>
                <w:bCs/>
                <w:sz w:val="20"/>
                <w:lang w:val="it-IT"/>
              </w:rPr>
              <w:t>ture ordinarie dispongono in partic</w:t>
            </w:r>
            <w:r>
              <w:rPr>
                <w:bCs/>
                <w:sz w:val="20"/>
                <w:lang w:val="it-IT"/>
              </w:rPr>
              <w:t>o</w:t>
            </w:r>
            <w:r>
              <w:rPr>
                <w:bCs/>
                <w:sz w:val="20"/>
                <w:lang w:val="it-IT"/>
              </w:rPr>
              <w:t>lari situazioni (colloqui su argomenti complessi oppure molto personali, procedure amministrative) di un s</w:t>
            </w:r>
            <w:r>
              <w:rPr>
                <w:bCs/>
                <w:sz w:val="20"/>
                <w:lang w:val="it-IT"/>
              </w:rPr>
              <w:t>o</w:t>
            </w:r>
            <w:r>
              <w:rPr>
                <w:bCs/>
                <w:sz w:val="20"/>
                <w:lang w:val="it-IT"/>
              </w:rPr>
              <w:t>stegno in termini di mediazione al f</w:t>
            </w:r>
            <w:r>
              <w:rPr>
                <w:bCs/>
                <w:sz w:val="20"/>
                <w:lang w:val="it-IT"/>
              </w:rPr>
              <w:t>i</w:t>
            </w:r>
            <w:r>
              <w:rPr>
                <w:bCs/>
                <w:sz w:val="20"/>
                <w:lang w:val="it-IT"/>
              </w:rPr>
              <w:t xml:space="preserve">ne di ottenere servizi </w:t>
            </w:r>
            <w:proofErr w:type="gramStart"/>
            <w:r>
              <w:rPr>
                <w:bCs/>
                <w:sz w:val="20"/>
                <w:lang w:val="it-IT"/>
              </w:rPr>
              <w:t>di</w:t>
            </w:r>
            <w:proofErr w:type="gramEnd"/>
            <w:r>
              <w:rPr>
                <w:bCs/>
                <w:sz w:val="20"/>
                <w:lang w:val="it-IT"/>
              </w:rPr>
              <w:t xml:space="preserve"> qualità nel settore dell’interpretariato intercult</w:t>
            </w:r>
            <w:r>
              <w:rPr>
                <w:bCs/>
                <w:sz w:val="20"/>
                <w:lang w:val="it-IT"/>
              </w:rPr>
              <w:t>u</w:t>
            </w:r>
            <w:r>
              <w:rPr>
                <w:bCs/>
                <w:sz w:val="20"/>
                <w:lang w:val="it-IT"/>
              </w:rPr>
              <w:t>rale.</w:t>
            </w:r>
          </w:p>
        </w:tc>
        <w:tc>
          <w:tcPr>
            <w:tcW w:w="2551" w:type="dxa"/>
          </w:tcPr>
          <w:p w:rsidR="007719B7" w:rsidRDefault="007719B7">
            <w:pPr>
              <w:tabs>
                <w:tab w:val="left" w:pos="426"/>
              </w:tabs>
              <w:spacing w:before="60" w:after="60" w:line="240" w:lineRule="auto"/>
              <w:rPr>
                <w:rFonts w:cs="Arial"/>
                <w:sz w:val="20"/>
                <w:lang w:val="it-IT"/>
              </w:rPr>
            </w:pPr>
          </w:p>
        </w:tc>
        <w:tc>
          <w:tcPr>
            <w:tcW w:w="2800" w:type="dxa"/>
          </w:tcPr>
          <w:p w:rsidR="007719B7" w:rsidRDefault="007719B7">
            <w:pPr>
              <w:tabs>
                <w:tab w:val="left" w:pos="426"/>
              </w:tabs>
              <w:spacing w:before="60" w:after="60" w:line="240" w:lineRule="auto"/>
              <w:rPr>
                <w:rFonts w:cs="Arial"/>
                <w:sz w:val="20"/>
                <w:lang w:val="it-IT"/>
              </w:rPr>
            </w:pPr>
          </w:p>
        </w:tc>
      </w:tr>
      <w:tr w:rsidR="007719B7" w:rsidRPr="003C35BD">
        <w:tc>
          <w:tcPr>
            <w:tcW w:w="3828" w:type="dxa"/>
          </w:tcPr>
          <w:p w:rsidR="007719B7" w:rsidRDefault="00C645AB">
            <w:pPr>
              <w:widowControl/>
              <w:spacing w:before="60" w:after="60" w:line="240" w:lineRule="auto"/>
              <w:rPr>
                <w:rFonts w:cs="Arial"/>
                <w:sz w:val="20"/>
                <w:u w:val="single"/>
                <w:lang w:val="it-IT"/>
              </w:rPr>
            </w:pPr>
            <w:r>
              <w:rPr>
                <w:rFonts w:cs="Arial"/>
                <w:sz w:val="20"/>
                <w:u w:val="single"/>
                <w:lang w:val="it-IT"/>
              </w:rPr>
              <w:t>Integrazione sociale:</w:t>
            </w:r>
          </w:p>
          <w:p w:rsidR="007719B7" w:rsidRDefault="00C645AB">
            <w:pPr>
              <w:widowControl/>
              <w:numPr>
                <w:ilvl w:val="0"/>
                <w:numId w:val="40"/>
              </w:numPr>
              <w:tabs>
                <w:tab w:val="clear" w:pos="720"/>
              </w:tabs>
              <w:spacing w:before="60" w:after="60" w:line="240" w:lineRule="auto"/>
              <w:ind w:left="317" w:hanging="317"/>
              <w:rPr>
                <w:rFonts w:cs="Arial"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I migranti prendono parte alla vita sociale del vicinato, ossia nell’ambito del Comune, del quartiere e delle o</w:t>
            </w:r>
            <w:r>
              <w:rPr>
                <w:bCs/>
                <w:sz w:val="20"/>
                <w:lang w:val="it-IT"/>
              </w:rPr>
              <w:t>r</w:t>
            </w:r>
            <w:r>
              <w:rPr>
                <w:bCs/>
                <w:sz w:val="20"/>
                <w:lang w:val="it-IT"/>
              </w:rPr>
              <w:t>ganizzazioni della società civile.</w:t>
            </w:r>
          </w:p>
        </w:tc>
        <w:tc>
          <w:tcPr>
            <w:tcW w:w="2551" w:type="dxa"/>
          </w:tcPr>
          <w:p w:rsidR="007719B7" w:rsidRDefault="007719B7">
            <w:pPr>
              <w:tabs>
                <w:tab w:val="left" w:pos="426"/>
              </w:tabs>
              <w:spacing w:before="60" w:after="60" w:line="240" w:lineRule="auto"/>
              <w:rPr>
                <w:rFonts w:cs="Arial"/>
                <w:sz w:val="20"/>
                <w:lang w:val="it-IT"/>
              </w:rPr>
            </w:pPr>
          </w:p>
        </w:tc>
        <w:tc>
          <w:tcPr>
            <w:tcW w:w="2800" w:type="dxa"/>
          </w:tcPr>
          <w:p w:rsidR="007719B7" w:rsidRDefault="007719B7">
            <w:pPr>
              <w:tabs>
                <w:tab w:val="left" w:pos="426"/>
              </w:tabs>
              <w:spacing w:before="60" w:after="60" w:line="240" w:lineRule="auto"/>
              <w:rPr>
                <w:rFonts w:cs="Arial"/>
                <w:sz w:val="20"/>
                <w:lang w:val="it-IT"/>
              </w:rPr>
            </w:pPr>
          </w:p>
        </w:tc>
      </w:tr>
    </w:tbl>
    <w:p w:rsidR="007719B7" w:rsidRDefault="007719B7">
      <w:pPr>
        <w:tabs>
          <w:tab w:val="left" w:pos="426"/>
        </w:tabs>
        <w:spacing w:line="240" w:lineRule="auto"/>
        <w:rPr>
          <w:rFonts w:cs="Arial"/>
          <w:szCs w:val="22"/>
          <w:lang w:val="it-IT"/>
        </w:rPr>
      </w:pPr>
    </w:p>
    <w:p w:rsidR="007719B7" w:rsidRDefault="00C645AB">
      <w:pPr>
        <w:tabs>
          <w:tab w:val="left" w:pos="426"/>
        </w:tabs>
        <w:spacing w:line="240" w:lineRule="auto"/>
        <w:rPr>
          <w:rFonts w:cs="Arial"/>
          <w:szCs w:val="22"/>
          <w:lang w:val="it-IT"/>
        </w:rPr>
      </w:pPr>
      <w:proofErr w:type="gramStart"/>
      <w:r>
        <w:rPr>
          <w:rFonts w:cs="Arial"/>
          <w:szCs w:val="22"/>
          <w:lang w:val="it-IT"/>
        </w:rPr>
        <w:t>Il</w:t>
      </w:r>
      <w:proofErr w:type="gramEnd"/>
      <w:r>
        <w:rPr>
          <w:rFonts w:cs="Arial"/>
          <w:szCs w:val="22"/>
          <w:lang w:val="it-IT"/>
        </w:rPr>
        <w:t xml:space="preserve"> Cantone si impegna ad adempiere allo scopo della convenzione gestendo con oculatezza le risorse economiche, nel rispetto dei termini e conformemente allo scopo pattuito e a g</w:t>
      </w:r>
      <w:r>
        <w:rPr>
          <w:rFonts w:cs="Arial"/>
          <w:szCs w:val="22"/>
          <w:lang w:val="it-IT"/>
        </w:rPr>
        <w:t>a</w:t>
      </w:r>
      <w:r>
        <w:rPr>
          <w:rFonts w:cs="Arial"/>
          <w:szCs w:val="22"/>
          <w:lang w:val="it-IT"/>
        </w:rPr>
        <w:t xml:space="preserve">rantire a lungo termine le prestazioni dovute. A tal fine </w:t>
      </w:r>
      <w:proofErr w:type="gramStart"/>
      <w:r>
        <w:rPr>
          <w:rFonts w:cs="Arial"/>
          <w:szCs w:val="22"/>
          <w:lang w:val="it-IT"/>
        </w:rPr>
        <w:t>il</w:t>
      </w:r>
      <w:proofErr w:type="gramEnd"/>
      <w:r>
        <w:rPr>
          <w:rFonts w:cs="Arial"/>
          <w:szCs w:val="22"/>
          <w:lang w:val="it-IT"/>
        </w:rPr>
        <w:t xml:space="preserve"> Cantone collabora fattivamente con i Comuni e i soggetti non statali, nello specifico anche con le organizzazioni dei migranti.</w:t>
      </w:r>
    </w:p>
    <w:p w:rsidR="007719B7" w:rsidRDefault="007719B7">
      <w:pPr>
        <w:tabs>
          <w:tab w:val="left" w:pos="426"/>
        </w:tabs>
        <w:spacing w:line="240" w:lineRule="auto"/>
        <w:rPr>
          <w:rFonts w:cs="Arial"/>
          <w:szCs w:val="22"/>
          <w:lang w:val="it-IT"/>
        </w:rPr>
      </w:pPr>
    </w:p>
    <w:p w:rsidR="007719B7" w:rsidRDefault="00C645AB">
      <w:pPr>
        <w:tabs>
          <w:tab w:val="left" w:pos="426"/>
        </w:tabs>
        <w:spacing w:line="240" w:lineRule="auto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br w:type="page"/>
      </w:r>
      <w:proofErr w:type="gramStart"/>
      <w:r>
        <w:rPr>
          <w:rFonts w:cs="Arial"/>
          <w:szCs w:val="22"/>
          <w:lang w:val="it-IT"/>
        </w:rPr>
        <w:lastRenderedPageBreak/>
        <w:t>Il</w:t>
      </w:r>
      <w:proofErr w:type="gramEnd"/>
      <w:r>
        <w:rPr>
          <w:rFonts w:cs="Arial"/>
          <w:szCs w:val="22"/>
          <w:lang w:val="it-IT"/>
        </w:rPr>
        <w:t xml:space="preserve"> Cantone (inclusi i Comuni) impiega per il programma proprie risorse finanziarie in misura almeno pari all’ammontare del contributo federale di cui al punto 5.2 lettera a previa appr</w:t>
      </w:r>
      <w:r>
        <w:rPr>
          <w:rFonts w:cs="Arial"/>
          <w:szCs w:val="22"/>
          <w:lang w:val="it-IT"/>
        </w:rPr>
        <w:t>o</w:t>
      </w:r>
      <w:r>
        <w:rPr>
          <w:rFonts w:cs="Arial"/>
          <w:szCs w:val="22"/>
          <w:lang w:val="it-IT"/>
        </w:rPr>
        <w:t>vazione dei relativi crediti a preventivo da parte del Parlamento cantonale. Per la durata co</w:t>
      </w:r>
      <w:r>
        <w:rPr>
          <w:rFonts w:cs="Arial"/>
          <w:szCs w:val="22"/>
          <w:lang w:val="it-IT"/>
        </w:rPr>
        <w:t>n</w:t>
      </w:r>
      <w:r>
        <w:rPr>
          <w:rFonts w:cs="Arial"/>
          <w:szCs w:val="22"/>
          <w:lang w:val="it-IT"/>
        </w:rPr>
        <w:t xml:space="preserve">cordata per il </w:t>
      </w:r>
      <w:proofErr w:type="gramStart"/>
      <w:r>
        <w:rPr>
          <w:rFonts w:cs="Arial"/>
          <w:szCs w:val="22"/>
          <w:lang w:val="it-IT"/>
        </w:rPr>
        <w:t>programma</w:t>
      </w:r>
      <w:proofErr w:type="gramEnd"/>
      <w:r>
        <w:rPr>
          <w:rFonts w:cs="Arial"/>
          <w:szCs w:val="22"/>
          <w:lang w:val="it-IT"/>
        </w:rPr>
        <w:t xml:space="preserve"> si tratta di un importo complessivo pari a: </w:t>
      </w:r>
      <w:proofErr w:type="spellStart"/>
      <w:r>
        <w:rPr>
          <w:rFonts w:cs="Arial"/>
          <w:szCs w:val="22"/>
          <w:highlight w:val="yellow"/>
          <w:lang w:val="it-IT"/>
        </w:rPr>
        <w:t>xxxx</w:t>
      </w:r>
      <w:proofErr w:type="spellEnd"/>
      <w:r>
        <w:rPr>
          <w:rFonts w:cs="Arial"/>
          <w:szCs w:val="22"/>
          <w:lang w:val="it-IT"/>
        </w:rPr>
        <w:t> franchi.</w:t>
      </w:r>
    </w:p>
    <w:p w:rsidR="007719B7" w:rsidRDefault="007719B7">
      <w:pPr>
        <w:tabs>
          <w:tab w:val="left" w:pos="426"/>
        </w:tabs>
        <w:spacing w:line="240" w:lineRule="auto"/>
        <w:rPr>
          <w:rFonts w:cs="Arial"/>
          <w:szCs w:val="22"/>
          <w:lang w:val="it-IT"/>
        </w:rPr>
      </w:pPr>
    </w:p>
    <w:p w:rsidR="007719B7" w:rsidRDefault="007719B7">
      <w:pPr>
        <w:tabs>
          <w:tab w:val="left" w:pos="426"/>
        </w:tabs>
        <w:spacing w:line="240" w:lineRule="auto"/>
        <w:rPr>
          <w:rFonts w:cs="Arial"/>
          <w:szCs w:val="22"/>
          <w:lang w:val="it-IT"/>
        </w:rPr>
      </w:pPr>
    </w:p>
    <w:p w:rsidR="007719B7" w:rsidRDefault="00C645AB">
      <w:pPr>
        <w:tabs>
          <w:tab w:val="left" w:pos="567"/>
        </w:tabs>
        <w:spacing w:after="120" w:line="240" w:lineRule="auto"/>
        <w:rPr>
          <w:rFonts w:cs="Arial"/>
          <w:i/>
          <w:szCs w:val="22"/>
          <w:lang w:val="it-IT"/>
        </w:rPr>
      </w:pPr>
      <w:r>
        <w:rPr>
          <w:rFonts w:cs="Arial"/>
          <w:i/>
          <w:szCs w:val="22"/>
          <w:lang w:val="it-IT"/>
        </w:rPr>
        <w:t>5.2</w:t>
      </w:r>
      <w:r>
        <w:rPr>
          <w:rFonts w:cs="Arial"/>
          <w:i/>
          <w:szCs w:val="22"/>
          <w:lang w:val="it-IT"/>
        </w:rPr>
        <w:tab/>
        <w:t>Prestazioni della Confederazione</w:t>
      </w:r>
    </w:p>
    <w:p w:rsidR="007719B7" w:rsidRDefault="00C645AB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 xml:space="preserve">a) </w:t>
      </w:r>
      <w:r>
        <w:rPr>
          <w:rFonts w:cs="Arial"/>
          <w:szCs w:val="22"/>
          <w:lang w:val="it-IT" w:eastAsia="it-IT"/>
        </w:rPr>
        <w:t>Al fine di conseguire gli obiettivi programmatici di cui al punto </w:t>
      </w:r>
      <w:proofErr w:type="gramStart"/>
      <w:r>
        <w:rPr>
          <w:rFonts w:cs="Arial"/>
          <w:szCs w:val="22"/>
          <w:lang w:val="it-IT"/>
        </w:rPr>
        <w:t>4</w:t>
      </w:r>
      <w:proofErr w:type="gramEnd"/>
      <w:r>
        <w:rPr>
          <w:rFonts w:cs="Arial"/>
          <w:szCs w:val="22"/>
          <w:lang w:val="it-IT"/>
        </w:rPr>
        <w:t xml:space="preserve"> </w:t>
      </w:r>
      <w:r>
        <w:rPr>
          <w:rFonts w:cs="Arial"/>
          <w:szCs w:val="22"/>
          <w:lang w:val="it-IT" w:eastAsia="it-IT"/>
        </w:rPr>
        <w:t>la Confederazione si i</w:t>
      </w:r>
      <w:r>
        <w:rPr>
          <w:rFonts w:cs="Arial"/>
          <w:szCs w:val="22"/>
          <w:lang w:val="it-IT" w:eastAsia="it-IT"/>
        </w:rPr>
        <w:t>m</w:t>
      </w:r>
      <w:r>
        <w:rPr>
          <w:rFonts w:cs="Arial"/>
          <w:szCs w:val="22"/>
          <w:lang w:val="it-IT" w:eastAsia="it-IT"/>
        </w:rPr>
        <w:t>pegna, in virtù dell</w:t>
      </w:r>
      <w:r>
        <w:rPr>
          <w:rFonts w:cs="Arial"/>
          <w:szCs w:val="22"/>
          <w:lang w:val="it-IT"/>
        </w:rPr>
        <w:t xml:space="preserve">’articolo 55 </w:t>
      </w:r>
      <w:proofErr w:type="spellStart"/>
      <w:r>
        <w:rPr>
          <w:rFonts w:cs="Arial"/>
          <w:szCs w:val="22"/>
          <w:lang w:val="it-IT"/>
        </w:rPr>
        <w:t>LStr</w:t>
      </w:r>
      <w:proofErr w:type="spellEnd"/>
      <w:r>
        <w:rPr>
          <w:rFonts w:cs="Arial"/>
          <w:szCs w:val="22"/>
          <w:lang w:val="it-IT"/>
        </w:rPr>
        <w:t>,</w:t>
      </w:r>
      <w:r>
        <w:rPr>
          <w:rFonts w:cs="Arial"/>
          <w:szCs w:val="22"/>
          <w:lang w:val="it-IT" w:eastAsia="it-IT"/>
        </w:rPr>
        <w:t xml:space="preserve"> a fornire i seguenti contributi massimi globali per le pr</w:t>
      </w:r>
      <w:r>
        <w:rPr>
          <w:rFonts w:cs="Arial"/>
          <w:szCs w:val="22"/>
          <w:lang w:val="it-IT" w:eastAsia="it-IT"/>
        </w:rPr>
        <w:t>e</w:t>
      </w:r>
      <w:r>
        <w:rPr>
          <w:rFonts w:cs="Arial"/>
          <w:szCs w:val="22"/>
          <w:lang w:val="it-IT" w:eastAsia="it-IT"/>
        </w:rPr>
        <w:t>stazioni di cui al punto </w:t>
      </w:r>
      <w:r>
        <w:rPr>
          <w:rFonts w:cs="Arial"/>
          <w:szCs w:val="22"/>
          <w:lang w:val="it-IT"/>
        </w:rPr>
        <w:t xml:space="preserve">5.1 per il periodo concordato come al punto 3: </w:t>
      </w:r>
      <w:r>
        <w:rPr>
          <w:rFonts w:cs="Arial"/>
          <w:szCs w:val="22"/>
          <w:highlight w:val="yellow"/>
          <w:lang w:val="it-IT"/>
        </w:rPr>
        <w:t>XXXX</w:t>
      </w:r>
      <w:r>
        <w:rPr>
          <w:rFonts w:cs="Arial"/>
          <w:szCs w:val="22"/>
          <w:lang w:val="it-IT"/>
        </w:rPr>
        <w:t xml:space="preserve"> franchi (di cui </w:t>
      </w:r>
      <w:r>
        <w:rPr>
          <w:rFonts w:cs="Arial"/>
          <w:szCs w:val="22"/>
          <w:highlight w:val="yellow"/>
          <w:lang w:val="it-IT"/>
        </w:rPr>
        <w:t>XXXX</w:t>
      </w:r>
      <w:r>
        <w:rPr>
          <w:rFonts w:cs="Arial"/>
          <w:szCs w:val="22"/>
          <w:lang w:val="it-IT"/>
        </w:rPr>
        <w:t> franchi a titolo di contributo di base).</w:t>
      </w:r>
    </w:p>
    <w:p w:rsidR="007719B7" w:rsidRDefault="007719B7">
      <w:pPr>
        <w:tabs>
          <w:tab w:val="left" w:pos="426"/>
        </w:tabs>
        <w:spacing w:line="240" w:lineRule="auto"/>
        <w:rPr>
          <w:rFonts w:cs="Arial"/>
          <w:szCs w:val="22"/>
          <w:highlight w:val="red"/>
          <w:lang w:val="it-IT"/>
        </w:rPr>
      </w:pPr>
    </w:p>
    <w:p w:rsidR="007719B7" w:rsidRDefault="00C645AB">
      <w:pPr>
        <w:tabs>
          <w:tab w:val="left" w:pos="426"/>
        </w:tabs>
        <w:spacing w:line="240" w:lineRule="auto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 xml:space="preserve">b) </w:t>
      </w:r>
      <w:proofErr w:type="gramStart"/>
      <w:r>
        <w:rPr>
          <w:rFonts w:cs="Arial"/>
          <w:szCs w:val="22"/>
          <w:lang w:val="it-IT"/>
        </w:rPr>
        <w:t>Oltre a ciò</w:t>
      </w:r>
      <w:proofErr w:type="gramEnd"/>
      <w:r>
        <w:rPr>
          <w:rFonts w:cs="Arial"/>
          <w:szCs w:val="22"/>
          <w:lang w:val="it-IT"/>
        </w:rPr>
        <w:t xml:space="preserve"> la Confederazione corrisponde un importo forfettario a favore dell’integrazione, secondo le modalità stabilite nel documento di base del 23 novembre 2011 (punti 6.5-6.8), di: </w:t>
      </w:r>
      <w:r>
        <w:rPr>
          <w:rFonts w:cs="Arial"/>
          <w:szCs w:val="22"/>
          <w:highlight w:val="yellow"/>
          <w:lang w:val="it-IT"/>
        </w:rPr>
        <w:t>XXXX</w:t>
      </w:r>
      <w:r>
        <w:rPr>
          <w:rFonts w:cs="Arial"/>
          <w:szCs w:val="22"/>
          <w:lang w:val="it-IT"/>
        </w:rPr>
        <w:t> franchi.</w:t>
      </w:r>
    </w:p>
    <w:p w:rsidR="007719B7" w:rsidRDefault="007719B7">
      <w:pPr>
        <w:tabs>
          <w:tab w:val="left" w:pos="426"/>
        </w:tabs>
        <w:spacing w:line="240" w:lineRule="auto"/>
        <w:rPr>
          <w:rFonts w:cs="Arial"/>
          <w:szCs w:val="22"/>
          <w:lang w:val="it-IT"/>
        </w:rPr>
      </w:pPr>
    </w:p>
    <w:p w:rsidR="007719B7" w:rsidRDefault="007719B7">
      <w:pPr>
        <w:tabs>
          <w:tab w:val="left" w:pos="426"/>
        </w:tabs>
        <w:spacing w:line="240" w:lineRule="auto"/>
        <w:rPr>
          <w:rFonts w:cs="Arial"/>
          <w:szCs w:val="22"/>
          <w:lang w:val="it-IT"/>
        </w:rPr>
      </w:pPr>
    </w:p>
    <w:p w:rsidR="007719B7" w:rsidRDefault="00C645AB">
      <w:pPr>
        <w:numPr>
          <w:ilvl w:val="0"/>
          <w:numId w:val="2"/>
        </w:numPr>
        <w:tabs>
          <w:tab w:val="clear" w:pos="360"/>
        </w:tabs>
        <w:spacing w:line="240" w:lineRule="auto"/>
        <w:ind w:left="567" w:hanging="567"/>
        <w:rPr>
          <w:rFonts w:cs="Arial"/>
          <w:b/>
          <w:bCs/>
          <w:szCs w:val="22"/>
          <w:lang w:val="it-IT"/>
        </w:rPr>
      </w:pPr>
      <w:proofErr w:type="gramStart"/>
      <w:r>
        <w:rPr>
          <w:rFonts w:cs="Arial"/>
          <w:b/>
          <w:bCs/>
          <w:szCs w:val="22"/>
          <w:lang w:val="it-IT"/>
        </w:rPr>
        <w:t>Modalità</w:t>
      </w:r>
      <w:proofErr w:type="gramEnd"/>
      <w:r>
        <w:rPr>
          <w:rFonts w:cs="Arial"/>
          <w:b/>
          <w:bCs/>
          <w:szCs w:val="22"/>
          <w:lang w:val="it-IT"/>
        </w:rPr>
        <w:t xml:space="preserve"> di erogazione</w:t>
      </w:r>
    </w:p>
    <w:p w:rsidR="007719B7" w:rsidRDefault="007719B7">
      <w:pPr>
        <w:tabs>
          <w:tab w:val="num" w:pos="1992"/>
        </w:tabs>
        <w:spacing w:line="240" w:lineRule="auto"/>
        <w:rPr>
          <w:rFonts w:cs="Arial"/>
          <w:szCs w:val="22"/>
          <w:lang w:val="it-IT"/>
        </w:rPr>
      </w:pPr>
    </w:p>
    <w:p w:rsidR="007719B7" w:rsidRDefault="00C645AB">
      <w:pPr>
        <w:tabs>
          <w:tab w:val="left" w:pos="567"/>
        </w:tabs>
        <w:spacing w:after="120" w:line="240" w:lineRule="auto"/>
        <w:rPr>
          <w:rFonts w:cs="Arial"/>
          <w:i/>
          <w:iCs/>
          <w:szCs w:val="22"/>
          <w:lang w:val="it-IT"/>
        </w:rPr>
      </w:pPr>
      <w:r>
        <w:rPr>
          <w:rFonts w:cs="Arial"/>
          <w:i/>
          <w:iCs/>
          <w:szCs w:val="22"/>
          <w:lang w:val="it-IT"/>
        </w:rPr>
        <w:t>6.1</w:t>
      </w:r>
      <w:r>
        <w:rPr>
          <w:rFonts w:cs="Arial"/>
          <w:i/>
          <w:iCs/>
          <w:szCs w:val="22"/>
          <w:lang w:val="it-IT"/>
        </w:rPr>
        <w:tab/>
        <w:t>Pianificazione finanziaria</w:t>
      </w:r>
    </w:p>
    <w:p w:rsidR="007719B7" w:rsidRDefault="00C645AB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  <w:lang w:val="it-IT"/>
        </w:rPr>
      </w:pPr>
      <w:r>
        <w:rPr>
          <w:rFonts w:cs="Arial"/>
          <w:szCs w:val="22"/>
          <w:lang w:val="it-IT" w:eastAsia="it-IT"/>
        </w:rPr>
        <w:t>Negli anni di attuazione del programma, i contributi federali ammonteranno verosimilmente a: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0"/>
        <w:gridCol w:w="6409"/>
      </w:tblGrid>
      <w:tr w:rsidR="007719B7">
        <w:tc>
          <w:tcPr>
            <w:tcW w:w="2680" w:type="dxa"/>
          </w:tcPr>
          <w:p w:rsidR="007719B7" w:rsidRDefault="00C645AB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2"/>
                <w:lang w:val="it-IT"/>
              </w:rPr>
            </w:pPr>
            <w:r>
              <w:rPr>
                <w:rFonts w:cs="Arial"/>
                <w:szCs w:val="22"/>
                <w:lang w:val="it-IT"/>
              </w:rPr>
              <w:t>1° anno (</w:t>
            </w:r>
            <w:r>
              <w:rPr>
                <w:rFonts w:cs="Arial"/>
                <w:szCs w:val="22"/>
                <w:highlight w:val="yellow"/>
                <w:lang w:val="it-IT"/>
              </w:rPr>
              <w:t>2014</w:t>
            </w:r>
            <w:r>
              <w:rPr>
                <w:rFonts w:cs="Arial"/>
                <w:szCs w:val="22"/>
                <w:lang w:val="it-IT"/>
              </w:rPr>
              <w:t>)</w:t>
            </w:r>
          </w:p>
        </w:tc>
        <w:tc>
          <w:tcPr>
            <w:tcW w:w="6409" w:type="dxa"/>
          </w:tcPr>
          <w:p w:rsidR="007719B7" w:rsidRDefault="00C645AB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2"/>
                <w:lang w:val="it-IT"/>
              </w:rPr>
            </w:pPr>
            <w:r>
              <w:rPr>
                <w:rFonts w:cs="Arial"/>
                <w:szCs w:val="22"/>
                <w:highlight w:val="yellow"/>
                <w:lang w:val="it-IT"/>
              </w:rPr>
              <w:t>Importo</w:t>
            </w:r>
          </w:p>
        </w:tc>
      </w:tr>
      <w:tr w:rsidR="007719B7">
        <w:tc>
          <w:tcPr>
            <w:tcW w:w="2680" w:type="dxa"/>
          </w:tcPr>
          <w:p w:rsidR="007719B7" w:rsidRDefault="00C645AB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2"/>
                <w:lang w:val="it-IT"/>
              </w:rPr>
            </w:pPr>
            <w:r>
              <w:rPr>
                <w:rFonts w:cs="Arial"/>
                <w:szCs w:val="22"/>
                <w:lang w:val="it-IT"/>
              </w:rPr>
              <w:t>2° anno (</w:t>
            </w:r>
            <w:r>
              <w:rPr>
                <w:rFonts w:cs="Arial"/>
                <w:szCs w:val="22"/>
                <w:highlight w:val="yellow"/>
                <w:lang w:val="it-IT"/>
              </w:rPr>
              <w:t>2015</w:t>
            </w:r>
            <w:r>
              <w:rPr>
                <w:rFonts w:cs="Arial"/>
                <w:szCs w:val="22"/>
                <w:lang w:val="it-IT"/>
              </w:rPr>
              <w:t>)</w:t>
            </w:r>
          </w:p>
        </w:tc>
        <w:tc>
          <w:tcPr>
            <w:tcW w:w="6409" w:type="dxa"/>
          </w:tcPr>
          <w:p w:rsidR="007719B7" w:rsidRDefault="00C645AB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2"/>
                <w:lang w:val="it-IT"/>
              </w:rPr>
            </w:pPr>
            <w:r>
              <w:rPr>
                <w:rFonts w:cs="Arial"/>
                <w:szCs w:val="22"/>
                <w:highlight w:val="yellow"/>
                <w:lang w:val="it-IT"/>
              </w:rPr>
              <w:t>Importo</w:t>
            </w:r>
          </w:p>
        </w:tc>
      </w:tr>
      <w:tr w:rsidR="007719B7">
        <w:tc>
          <w:tcPr>
            <w:tcW w:w="2680" w:type="dxa"/>
          </w:tcPr>
          <w:p w:rsidR="007719B7" w:rsidRDefault="00C645AB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2"/>
                <w:lang w:val="it-IT"/>
              </w:rPr>
            </w:pPr>
            <w:r>
              <w:rPr>
                <w:rFonts w:cs="Arial"/>
                <w:szCs w:val="22"/>
                <w:lang w:val="it-IT"/>
              </w:rPr>
              <w:t>3° anno (</w:t>
            </w:r>
            <w:r>
              <w:rPr>
                <w:rFonts w:cs="Arial"/>
                <w:szCs w:val="22"/>
                <w:highlight w:val="yellow"/>
                <w:lang w:val="it-IT"/>
              </w:rPr>
              <w:t>2016</w:t>
            </w:r>
            <w:r>
              <w:rPr>
                <w:rFonts w:cs="Arial"/>
                <w:szCs w:val="22"/>
                <w:lang w:val="it-IT"/>
              </w:rPr>
              <w:t>)</w:t>
            </w:r>
          </w:p>
        </w:tc>
        <w:tc>
          <w:tcPr>
            <w:tcW w:w="6409" w:type="dxa"/>
          </w:tcPr>
          <w:p w:rsidR="007719B7" w:rsidRDefault="00C645AB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2"/>
                <w:lang w:val="it-IT"/>
              </w:rPr>
            </w:pPr>
            <w:r>
              <w:rPr>
                <w:rFonts w:cs="Arial"/>
                <w:szCs w:val="22"/>
                <w:highlight w:val="yellow"/>
                <w:lang w:val="it-IT"/>
              </w:rPr>
              <w:t>Importo</w:t>
            </w:r>
          </w:p>
        </w:tc>
      </w:tr>
      <w:tr w:rsidR="007719B7">
        <w:tc>
          <w:tcPr>
            <w:tcW w:w="2680" w:type="dxa"/>
          </w:tcPr>
          <w:p w:rsidR="007719B7" w:rsidRDefault="00C645AB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2"/>
                <w:lang w:val="it-IT"/>
              </w:rPr>
            </w:pPr>
            <w:r>
              <w:rPr>
                <w:rFonts w:cs="Arial"/>
                <w:szCs w:val="22"/>
                <w:lang w:val="it-IT"/>
              </w:rPr>
              <w:t>4° anno (</w:t>
            </w:r>
            <w:r>
              <w:rPr>
                <w:rFonts w:cs="Arial"/>
                <w:szCs w:val="22"/>
                <w:highlight w:val="yellow"/>
                <w:lang w:val="it-IT"/>
              </w:rPr>
              <w:t>2017</w:t>
            </w:r>
            <w:r>
              <w:rPr>
                <w:rFonts w:cs="Arial"/>
                <w:szCs w:val="22"/>
                <w:lang w:val="it-IT"/>
              </w:rPr>
              <w:t>)</w:t>
            </w:r>
          </w:p>
        </w:tc>
        <w:tc>
          <w:tcPr>
            <w:tcW w:w="6409" w:type="dxa"/>
          </w:tcPr>
          <w:p w:rsidR="007719B7" w:rsidRDefault="00C645AB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2"/>
                <w:lang w:val="it-IT"/>
              </w:rPr>
            </w:pPr>
            <w:r>
              <w:rPr>
                <w:rFonts w:cs="Arial"/>
                <w:szCs w:val="22"/>
                <w:highlight w:val="yellow"/>
                <w:lang w:val="it-IT"/>
              </w:rPr>
              <w:t>Importo</w:t>
            </w:r>
          </w:p>
        </w:tc>
      </w:tr>
    </w:tbl>
    <w:p w:rsidR="007719B7" w:rsidRDefault="007719B7">
      <w:pPr>
        <w:tabs>
          <w:tab w:val="left" w:pos="426"/>
        </w:tabs>
        <w:spacing w:line="240" w:lineRule="auto"/>
        <w:rPr>
          <w:rFonts w:cs="Arial"/>
          <w:i/>
          <w:szCs w:val="22"/>
          <w:lang w:val="it-IT"/>
        </w:rPr>
      </w:pPr>
    </w:p>
    <w:p w:rsidR="007719B7" w:rsidRDefault="00C645AB">
      <w:pPr>
        <w:spacing w:after="120" w:line="240" w:lineRule="auto"/>
        <w:ind w:left="567" w:hanging="567"/>
        <w:jc w:val="both"/>
        <w:rPr>
          <w:rFonts w:cs="Arial"/>
          <w:i/>
          <w:iCs/>
          <w:szCs w:val="22"/>
          <w:lang w:val="it-IT"/>
        </w:rPr>
      </w:pPr>
      <w:r>
        <w:rPr>
          <w:rFonts w:cs="Arial"/>
          <w:i/>
          <w:iCs/>
          <w:szCs w:val="22"/>
          <w:lang w:val="it-IT"/>
        </w:rPr>
        <w:t>6.2</w:t>
      </w:r>
      <w:r>
        <w:rPr>
          <w:rFonts w:cs="Arial"/>
          <w:i/>
          <w:iCs/>
          <w:szCs w:val="22"/>
          <w:lang w:val="it-IT"/>
        </w:rPr>
        <w:tab/>
      </w:r>
      <w:proofErr w:type="gramStart"/>
      <w:r>
        <w:rPr>
          <w:rFonts w:cs="Arial"/>
          <w:i/>
          <w:iCs/>
          <w:szCs w:val="22"/>
          <w:lang w:val="it-IT"/>
        </w:rPr>
        <w:t>Modalità</w:t>
      </w:r>
      <w:proofErr w:type="gramEnd"/>
      <w:r>
        <w:rPr>
          <w:rFonts w:cs="Arial"/>
          <w:i/>
          <w:iCs/>
          <w:szCs w:val="22"/>
          <w:lang w:val="it-IT"/>
        </w:rPr>
        <w:t xml:space="preserve"> di erogazione</w:t>
      </w:r>
    </w:p>
    <w:p w:rsidR="007719B7" w:rsidRDefault="00C645AB">
      <w:pPr>
        <w:widowControl/>
        <w:autoSpaceDE w:val="0"/>
        <w:autoSpaceDN w:val="0"/>
        <w:adjustRightInd w:val="0"/>
        <w:spacing w:line="240" w:lineRule="auto"/>
        <w:jc w:val="both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 xml:space="preserve">Su richiesta </w:t>
      </w:r>
      <w:proofErr w:type="gramStart"/>
      <w:r>
        <w:rPr>
          <w:rFonts w:cs="Arial"/>
          <w:szCs w:val="22"/>
          <w:lang w:val="it-IT"/>
        </w:rPr>
        <w:t>del</w:t>
      </w:r>
      <w:proofErr w:type="gramEnd"/>
      <w:r>
        <w:rPr>
          <w:rFonts w:cs="Arial"/>
          <w:szCs w:val="22"/>
          <w:lang w:val="it-IT"/>
        </w:rPr>
        <w:t xml:space="preserve"> Cantone </w:t>
      </w:r>
      <w:smartTag w:uri="urn:schemas-microsoft-com:office:smarttags" w:element="PersonName">
        <w:smartTagPr>
          <w:attr w:name="ProductID" w:val="la Confederazione"/>
        </w:smartTagPr>
        <w:r>
          <w:rPr>
            <w:rFonts w:cs="Arial"/>
            <w:szCs w:val="22"/>
            <w:lang w:val="it-IT"/>
          </w:rPr>
          <w:t>la Confederazione</w:t>
        </w:r>
      </w:smartTag>
      <w:r>
        <w:rPr>
          <w:rFonts w:cs="Arial"/>
          <w:szCs w:val="22"/>
          <w:lang w:val="it-IT"/>
        </w:rPr>
        <w:t xml:space="preserve"> eroga</w:t>
      </w:r>
      <w:r>
        <w:rPr>
          <w:rFonts w:cs="Arial"/>
          <w:szCs w:val="22"/>
          <w:lang w:val="it-IT" w:eastAsia="it-IT"/>
        </w:rPr>
        <w:t xml:space="preserve"> annualmente al Cantone in due rate (nei mesi di gennaio e luglio) i contributi convenuti nel quadro dei crediti concessi</w:t>
      </w:r>
      <w:r>
        <w:rPr>
          <w:rFonts w:cs="Arial"/>
          <w:szCs w:val="22"/>
          <w:lang w:val="it-IT"/>
        </w:rPr>
        <w:t>.</w:t>
      </w:r>
    </w:p>
    <w:p w:rsidR="007719B7" w:rsidRDefault="007719B7">
      <w:pPr>
        <w:widowControl/>
        <w:autoSpaceDE w:val="0"/>
        <w:autoSpaceDN w:val="0"/>
        <w:adjustRightInd w:val="0"/>
        <w:spacing w:line="240" w:lineRule="auto"/>
        <w:jc w:val="both"/>
        <w:rPr>
          <w:rFonts w:cs="Arial"/>
          <w:szCs w:val="22"/>
          <w:lang w:val="it-IT"/>
        </w:rPr>
      </w:pPr>
    </w:p>
    <w:p w:rsidR="007719B7" w:rsidRDefault="00C645AB">
      <w:pPr>
        <w:widowControl/>
        <w:autoSpaceDE w:val="0"/>
        <w:autoSpaceDN w:val="0"/>
        <w:adjustRightInd w:val="0"/>
        <w:spacing w:line="240" w:lineRule="auto"/>
        <w:jc w:val="both"/>
        <w:rPr>
          <w:rFonts w:cs="Arial"/>
          <w:szCs w:val="22"/>
          <w:lang w:val="it-IT" w:eastAsia="it-IT"/>
        </w:rPr>
      </w:pPr>
      <w:r>
        <w:rPr>
          <w:rFonts w:cs="Arial"/>
          <w:szCs w:val="22"/>
          <w:lang w:val="it-IT" w:eastAsia="it-IT"/>
        </w:rPr>
        <w:t xml:space="preserve">In linea di principio i pagamenti rateali </w:t>
      </w:r>
      <w:proofErr w:type="gramStart"/>
      <w:r>
        <w:rPr>
          <w:rFonts w:cs="Arial"/>
          <w:szCs w:val="22"/>
          <w:lang w:val="it-IT" w:eastAsia="it-IT"/>
        </w:rPr>
        <w:t>vengono</w:t>
      </w:r>
      <w:proofErr w:type="gramEnd"/>
      <w:r>
        <w:rPr>
          <w:rFonts w:cs="Arial"/>
          <w:szCs w:val="22"/>
          <w:lang w:val="it-IT" w:eastAsia="it-IT"/>
        </w:rPr>
        <w:t xml:space="preserve"> effettuati indipendentemente dal grado di conseguimento dell’obiettivo. Sono fatte salve la riduzione o la cessazione dei pagamenti in caso di gravi inadempienze nell’ambito della prestazione.</w:t>
      </w:r>
    </w:p>
    <w:p w:rsidR="007719B7" w:rsidRDefault="007719B7">
      <w:pPr>
        <w:widowControl/>
        <w:autoSpaceDE w:val="0"/>
        <w:autoSpaceDN w:val="0"/>
        <w:adjustRightInd w:val="0"/>
        <w:spacing w:line="240" w:lineRule="auto"/>
        <w:jc w:val="both"/>
        <w:rPr>
          <w:rFonts w:cs="Arial"/>
          <w:szCs w:val="22"/>
          <w:lang w:val="it-IT"/>
        </w:rPr>
      </w:pPr>
    </w:p>
    <w:p w:rsidR="007719B7" w:rsidRDefault="00C645AB">
      <w:pPr>
        <w:spacing w:after="120" w:line="240" w:lineRule="auto"/>
        <w:ind w:left="567" w:hanging="567"/>
        <w:jc w:val="both"/>
        <w:rPr>
          <w:rFonts w:cs="Arial"/>
          <w:i/>
          <w:iCs/>
          <w:szCs w:val="22"/>
          <w:lang w:val="it-IT"/>
        </w:rPr>
      </w:pPr>
      <w:r>
        <w:rPr>
          <w:rFonts w:cs="Arial"/>
          <w:i/>
          <w:iCs/>
          <w:szCs w:val="22"/>
          <w:lang w:val="it-IT"/>
        </w:rPr>
        <w:t>6.3</w:t>
      </w:r>
      <w:r>
        <w:rPr>
          <w:rFonts w:cs="Arial"/>
          <w:i/>
          <w:iCs/>
          <w:szCs w:val="22"/>
          <w:lang w:val="it-IT"/>
        </w:rPr>
        <w:tab/>
        <w:t>Riserva di erogazione</w:t>
      </w:r>
    </w:p>
    <w:p w:rsidR="007719B7" w:rsidRDefault="00C645AB">
      <w:pPr>
        <w:widowControl/>
        <w:autoSpaceDE w:val="0"/>
        <w:autoSpaceDN w:val="0"/>
        <w:adjustRightInd w:val="0"/>
        <w:spacing w:line="240" w:lineRule="auto"/>
        <w:jc w:val="both"/>
        <w:rPr>
          <w:rFonts w:cs="Arial"/>
          <w:szCs w:val="22"/>
          <w:lang w:val="it-IT"/>
        </w:rPr>
      </w:pPr>
      <w:r>
        <w:rPr>
          <w:rFonts w:cs="Arial"/>
          <w:szCs w:val="22"/>
          <w:lang w:val="it-IT" w:eastAsia="it-IT"/>
        </w:rPr>
        <w:t xml:space="preserve">Il versamento dei contributi di cui al punto 6.1 è </w:t>
      </w:r>
      <w:proofErr w:type="gramStart"/>
      <w:r>
        <w:rPr>
          <w:rFonts w:cs="Arial"/>
          <w:szCs w:val="22"/>
          <w:lang w:val="it-IT" w:eastAsia="it-IT"/>
        </w:rPr>
        <w:t>effettuato</w:t>
      </w:r>
      <w:proofErr w:type="gramEnd"/>
      <w:r>
        <w:rPr>
          <w:rFonts w:cs="Arial"/>
          <w:szCs w:val="22"/>
          <w:lang w:val="it-IT" w:eastAsia="it-IT"/>
        </w:rPr>
        <w:t xml:space="preserve"> con riserva di approvazione da parte del Parlamento dei rispettivi crediti a preventivo.</w:t>
      </w:r>
    </w:p>
    <w:p w:rsidR="007719B7" w:rsidRDefault="007719B7">
      <w:pPr>
        <w:widowControl/>
        <w:tabs>
          <w:tab w:val="num" w:pos="1992"/>
        </w:tabs>
        <w:autoSpaceDE w:val="0"/>
        <w:autoSpaceDN w:val="0"/>
        <w:adjustRightInd w:val="0"/>
        <w:spacing w:line="240" w:lineRule="auto"/>
        <w:jc w:val="both"/>
        <w:rPr>
          <w:rFonts w:cs="Arial"/>
          <w:i/>
          <w:iCs/>
          <w:szCs w:val="22"/>
          <w:lang w:val="it-IT"/>
        </w:rPr>
      </w:pPr>
    </w:p>
    <w:p w:rsidR="007719B7" w:rsidRDefault="007719B7">
      <w:pPr>
        <w:widowControl/>
        <w:autoSpaceDE w:val="0"/>
        <w:autoSpaceDN w:val="0"/>
        <w:adjustRightInd w:val="0"/>
        <w:spacing w:line="240" w:lineRule="auto"/>
        <w:jc w:val="both"/>
        <w:rPr>
          <w:rFonts w:cs="Arial"/>
          <w:szCs w:val="22"/>
          <w:lang w:val="it-IT"/>
        </w:rPr>
      </w:pPr>
    </w:p>
    <w:p w:rsidR="007719B7" w:rsidRDefault="00C645AB">
      <w:pPr>
        <w:numPr>
          <w:ilvl w:val="0"/>
          <w:numId w:val="2"/>
        </w:numPr>
        <w:tabs>
          <w:tab w:val="clear" w:pos="360"/>
        </w:tabs>
        <w:spacing w:line="240" w:lineRule="auto"/>
        <w:ind w:left="567" w:hanging="567"/>
        <w:jc w:val="both"/>
        <w:rPr>
          <w:rFonts w:cs="Arial"/>
          <w:b/>
          <w:bCs/>
          <w:szCs w:val="22"/>
          <w:lang w:val="it-IT"/>
        </w:rPr>
      </w:pPr>
      <w:r>
        <w:rPr>
          <w:rFonts w:cs="Arial"/>
          <w:b/>
          <w:bCs/>
          <w:szCs w:val="22"/>
          <w:lang w:val="it-IT"/>
        </w:rPr>
        <w:t>Sostegno al programma e controlli concernenti l’adempimento</w:t>
      </w:r>
    </w:p>
    <w:p w:rsidR="007719B7" w:rsidRDefault="007719B7">
      <w:pPr>
        <w:widowControl/>
        <w:autoSpaceDE w:val="0"/>
        <w:autoSpaceDN w:val="0"/>
        <w:adjustRightInd w:val="0"/>
        <w:spacing w:line="240" w:lineRule="auto"/>
        <w:jc w:val="both"/>
        <w:rPr>
          <w:rFonts w:cs="Arial"/>
          <w:szCs w:val="22"/>
          <w:lang w:val="it-IT"/>
        </w:rPr>
      </w:pPr>
    </w:p>
    <w:p w:rsidR="007719B7" w:rsidRDefault="00C645AB">
      <w:pPr>
        <w:spacing w:after="120" w:line="240" w:lineRule="auto"/>
        <w:ind w:left="567" w:hanging="567"/>
        <w:jc w:val="both"/>
        <w:rPr>
          <w:rFonts w:cs="Arial"/>
          <w:i/>
          <w:iCs/>
          <w:szCs w:val="22"/>
          <w:lang w:val="it-IT"/>
        </w:rPr>
      </w:pPr>
      <w:r>
        <w:rPr>
          <w:rFonts w:cs="Arial"/>
          <w:i/>
          <w:iCs/>
          <w:szCs w:val="22"/>
          <w:lang w:val="it-IT"/>
        </w:rPr>
        <w:t>7.1</w:t>
      </w:r>
      <w:r>
        <w:rPr>
          <w:rFonts w:cs="Arial"/>
          <w:i/>
          <w:iCs/>
          <w:szCs w:val="22"/>
          <w:lang w:val="it-IT"/>
        </w:rPr>
        <w:tab/>
        <w:t>Rapporti annuali</w:t>
      </w:r>
    </w:p>
    <w:p w:rsidR="007719B7" w:rsidRDefault="00C645AB">
      <w:pPr>
        <w:widowControl/>
        <w:autoSpaceDE w:val="0"/>
        <w:autoSpaceDN w:val="0"/>
        <w:adjustRightInd w:val="0"/>
        <w:spacing w:line="240" w:lineRule="auto"/>
        <w:jc w:val="both"/>
        <w:rPr>
          <w:rFonts w:cs="Arial"/>
          <w:szCs w:val="22"/>
          <w:lang w:val="it-IT"/>
        </w:rPr>
      </w:pPr>
      <w:proofErr w:type="gramStart"/>
      <w:r>
        <w:rPr>
          <w:rFonts w:cs="Arial"/>
          <w:szCs w:val="22"/>
          <w:lang w:val="it-IT" w:eastAsia="it-IT"/>
        </w:rPr>
        <w:t>Il</w:t>
      </w:r>
      <w:proofErr w:type="gramEnd"/>
      <w:r>
        <w:rPr>
          <w:rFonts w:cs="Arial"/>
          <w:szCs w:val="22"/>
          <w:lang w:val="it-IT" w:eastAsia="it-IT"/>
        </w:rPr>
        <w:t xml:space="preserve"> Cantone riferisce annualmente alla Confederazione in merito al grado di raggiungimento degli obiettivi programmatici strategici per mezzo degli indicatori concordati</w:t>
      </w:r>
      <w:r>
        <w:rPr>
          <w:rStyle w:val="Funotenzeichen"/>
          <w:rFonts w:cs="Arial"/>
          <w:szCs w:val="22"/>
          <w:lang w:val="it-IT"/>
        </w:rPr>
        <w:footnoteReference w:id="3"/>
      </w:r>
      <w:r>
        <w:rPr>
          <w:rFonts w:cs="Arial"/>
          <w:szCs w:val="22"/>
          <w:lang w:val="it-IT" w:eastAsia="it-IT"/>
        </w:rPr>
        <w:t xml:space="preserve"> di cui al pu</w:t>
      </w:r>
      <w:r>
        <w:rPr>
          <w:rFonts w:cs="Arial"/>
          <w:szCs w:val="22"/>
          <w:lang w:val="it-IT" w:eastAsia="it-IT"/>
        </w:rPr>
        <w:t>n</w:t>
      </w:r>
      <w:r>
        <w:rPr>
          <w:rFonts w:cs="Arial"/>
          <w:szCs w:val="22"/>
          <w:lang w:val="it-IT" w:eastAsia="it-IT"/>
        </w:rPr>
        <w:t>to 5.1, ai contributi federali fino a quel momento ricevuti e a tutte le risorse impiegate per il programma. Il rapporto concernente il secondo anno di programma contiene inoltre le co</w:t>
      </w:r>
      <w:r>
        <w:rPr>
          <w:rFonts w:cs="Arial"/>
          <w:szCs w:val="22"/>
          <w:lang w:val="it-IT" w:eastAsia="it-IT"/>
        </w:rPr>
        <w:t>n</w:t>
      </w:r>
      <w:r>
        <w:rPr>
          <w:rFonts w:cs="Arial"/>
          <w:szCs w:val="22"/>
          <w:lang w:val="it-IT" w:eastAsia="it-IT"/>
        </w:rPr>
        <w:t xml:space="preserve">clusioni in vista del successivo periodo di validità </w:t>
      </w:r>
      <w:proofErr w:type="gramStart"/>
      <w:r>
        <w:rPr>
          <w:rFonts w:cs="Arial"/>
          <w:szCs w:val="22"/>
          <w:lang w:val="it-IT" w:eastAsia="it-IT"/>
        </w:rPr>
        <w:t>della</w:t>
      </w:r>
      <w:proofErr w:type="gramEnd"/>
      <w:r>
        <w:rPr>
          <w:rFonts w:cs="Arial"/>
          <w:szCs w:val="22"/>
          <w:lang w:val="it-IT" w:eastAsia="it-IT"/>
        </w:rPr>
        <w:t xml:space="preserve"> convenzione.</w:t>
      </w:r>
    </w:p>
    <w:p w:rsidR="007719B7" w:rsidRDefault="007719B7">
      <w:pPr>
        <w:tabs>
          <w:tab w:val="left" w:pos="426"/>
        </w:tabs>
        <w:spacing w:line="240" w:lineRule="auto"/>
        <w:jc w:val="both"/>
        <w:rPr>
          <w:rFonts w:cs="Arial"/>
          <w:szCs w:val="22"/>
          <w:lang w:val="it-IT"/>
        </w:rPr>
      </w:pPr>
    </w:p>
    <w:p w:rsidR="007719B7" w:rsidRDefault="00C645AB">
      <w:pPr>
        <w:tabs>
          <w:tab w:val="left" w:pos="567"/>
        </w:tabs>
        <w:spacing w:after="120" w:line="240" w:lineRule="auto"/>
        <w:jc w:val="both"/>
        <w:rPr>
          <w:rFonts w:cs="Arial"/>
          <w:i/>
          <w:iCs/>
          <w:szCs w:val="22"/>
          <w:lang w:val="it-IT"/>
        </w:rPr>
      </w:pPr>
      <w:r>
        <w:rPr>
          <w:rFonts w:cs="Arial"/>
          <w:i/>
          <w:iCs/>
          <w:szCs w:val="22"/>
          <w:lang w:val="it-IT"/>
        </w:rPr>
        <w:br w:type="page"/>
      </w:r>
      <w:r>
        <w:rPr>
          <w:rFonts w:cs="Arial"/>
          <w:i/>
          <w:iCs/>
          <w:szCs w:val="22"/>
          <w:lang w:val="it-IT"/>
        </w:rPr>
        <w:lastRenderedPageBreak/>
        <w:t>7.2</w:t>
      </w:r>
      <w:r>
        <w:rPr>
          <w:rFonts w:cs="Arial"/>
          <w:i/>
          <w:iCs/>
          <w:szCs w:val="22"/>
          <w:lang w:val="it-IT"/>
        </w:rPr>
        <w:tab/>
        <w:t>Rapporto finale</w:t>
      </w:r>
    </w:p>
    <w:p w:rsidR="007719B7" w:rsidRDefault="00C645AB">
      <w:pPr>
        <w:tabs>
          <w:tab w:val="left" w:pos="426"/>
        </w:tabs>
        <w:spacing w:line="240" w:lineRule="auto"/>
        <w:jc w:val="both"/>
        <w:rPr>
          <w:rFonts w:cs="Arial"/>
          <w:szCs w:val="22"/>
          <w:lang w:val="it-IT"/>
        </w:rPr>
      </w:pPr>
      <w:r>
        <w:rPr>
          <w:rFonts w:cs="Arial"/>
          <w:szCs w:val="22"/>
          <w:lang w:val="it-IT" w:eastAsia="it-IT"/>
        </w:rPr>
        <w:t xml:space="preserve">Con il rapporto finale </w:t>
      </w:r>
      <w:proofErr w:type="gramStart"/>
      <w:r>
        <w:rPr>
          <w:rFonts w:cs="Arial"/>
          <w:szCs w:val="22"/>
          <w:lang w:val="it-IT" w:eastAsia="it-IT"/>
        </w:rPr>
        <w:t>il</w:t>
      </w:r>
      <w:proofErr w:type="gramEnd"/>
      <w:r>
        <w:rPr>
          <w:rFonts w:cs="Arial"/>
          <w:szCs w:val="22"/>
          <w:lang w:val="it-IT" w:eastAsia="it-IT"/>
        </w:rPr>
        <w:t xml:space="preserve"> Cantone riferisce alla Confederazione in merito al grado di consegu</w:t>
      </w:r>
      <w:r>
        <w:rPr>
          <w:rFonts w:cs="Arial"/>
          <w:szCs w:val="22"/>
          <w:lang w:val="it-IT" w:eastAsia="it-IT"/>
        </w:rPr>
        <w:t>i</w:t>
      </w:r>
      <w:r>
        <w:rPr>
          <w:rFonts w:cs="Arial"/>
          <w:szCs w:val="22"/>
          <w:lang w:val="it-IT" w:eastAsia="it-IT"/>
        </w:rPr>
        <w:t>mento degli obiettivi programmatici strategici per mezzo degli indicatori concordati</w:t>
      </w:r>
      <w:r>
        <w:rPr>
          <w:rStyle w:val="Funotenzeichen"/>
          <w:rFonts w:cs="Arial"/>
          <w:szCs w:val="22"/>
          <w:lang w:val="it-IT"/>
        </w:rPr>
        <w:footnoteReference w:id="4"/>
      </w:r>
      <w:r>
        <w:rPr>
          <w:rFonts w:cs="Arial"/>
          <w:szCs w:val="22"/>
          <w:lang w:val="it-IT" w:eastAsia="it-IT"/>
        </w:rPr>
        <w:t xml:space="preserve"> di cui al punto 5.1, ai contributi federali ricevuti e a tutte le risorse impiegate per il programma. Il ra</w:t>
      </w:r>
      <w:r>
        <w:rPr>
          <w:rFonts w:cs="Arial"/>
          <w:szCs w:val="22"/>
          <w:lang w:val="it-IT" w:eastAsia="it-IT"/>
        </w:rPr>
        <w:t>p</w:t>
      </w:r>
      <w:r>
        <w:rPr>
          <w:rFonts w:cs="Arial"/>
          <w:szCs w:val="22"/>
          <w:lang w:val="it-IT" w:eastAsia="it-IT"/>
        </w:rPr>
        <w:t>porto finale contiene inoltre una valutazione complessiva del programma.</w:t>
      </w:r>
    </w:p>
    <w:p w:rsidR="007719B7" w:rsidRDefault="007719B7">
      <w:pPr>
        <w:tabs>
          <w:tab w:val="left" w:pos="426"/>
        </w:tabs>
        <w:spacing w:line="240" w:lineRule="auto"/>
        <w:jc w:val="both"/>
        <w:rPr>
          <w:rFonts w:cs="Arial"/>
          <w:szCs w:val="22"/>
          <w:lang w:val="it-IT"/>
        </w:rPr>
      </w:pPr>
    </w:p>
    <w:p w:rsidR="007719B7" w:rsidRDefault="00C645AB">
      <w:pPr>
        <w:tabs>
          <w:tab w:val="left" w:pos="567"/>
        </w:tabs>
        <w:spacing w:after="120" w:line="240" w:lineRule="auto"/>
        <w:jc w:val="both"/>
        <w:rPr>
          <w:rFonts w:cs="Arial"/>
          <w:i/>
          <w:iCs/>
          <w:szCs w:val="22"/>
          <w:lang w:val="it-IT"/>
        </w:rPr>
      </w:pPr>
      <w:r>
        <w:rPr>
          <w:rFonts w:cs="Arial"/>
          <w:i/>
          <w:iCs/>
          <w:szCs w:val="22"/>
          <w:lang w:val="it-IT"/>
        </w:rPr>
        <w:t>7.3</w:t>
      </w:r>
      <w:r>
        <w:rPr>
          <w:rFonts w:cs="Arial"/>
          <w:i/>
          <w:iCs/>
          <w:szCs w:val="22"/>
          <w:lang w:val="it-IT"/>
        </w:rPr>
        <w:tab/>
        <w:t>Termini di presentazione</w:t>
      </w:r>
    </w:p>
    <w:p w:rsidR="007719B7" w:rsidRDefault="00C645AB">
      <w:pPr>
        <w:widowControl/>
        <w:autoSpaceDE w:val="0"/>
        <w:autoSpaceDN w:val="0"/>
        <w:adjustRightInd w:val="0"/>
        <w:spacing w:line="240" w:lineRule="auto"/>
        <w:jc w:val="both"/>
        <w:rPr>
          <w:rFonts w:cs="Arial"/>
          <w:szCs w:val="22"/>
          <w:lang w:val="it-IT"/>
        </w:rPr>
      </w:pPr>
      <w:r>
        <w:rPr>
          <w:rFonts w:cs="Arial"/>
          <w:szCs w:val="22"/>
          <w:lang w:val="it-IT" w:eastAsia="it-IT"/>
        </w:rPr>
        <w:t xml:space="preserve">I rapporti annuali e quello finale devono essere presentati entro la fine del mese di aprile </w:t>
      </w:r>
      <w:proofErr w:type="gramStart"/>
      <w:r>
        <w:rPr>
          <w:rFonts w:cs="Arial"/>
          <w:szCs w:val="22"/>
          <w:lang w:val="it-IT" w:eastAsia="it-IT"/>
        </w:rPr>
        <w:t>dell’</w:t>
      </w:r>
      <w:proofErr w:type="gramEnd"/>
      <w:r>
        <w:rPr>
          <w:rFonts w:cs="Arial"/>
          <w:szCs w:val="22"/>
          <w:lang w:val="it-IT" w:eastAsia="it-IT"/>
        </w:rPr>
        <w:t xml:space="preserve">anno successivo a quello di riferimento. </w:t>
      </w:r>
      <w:smartTag w:uri="urn:schemas-microsoft-com:office:smarttags" w:element="PersonName">
        <w:smartTagPr>
          <w:attr w:name="ProductID" w:val="la Confederazione"/>
        </w:smartTagPr>
        <w:r>
          <w:rPr>
            <w:rFonts w:cs="Arial"/>
            <w:szCs w:val="22"/>
            <w:lang w:val="it-IT" w:eastAsia="it-IT"/>
          </w:rPr>
          <w:t>La Confederazione</w:t>
        </w:r>
      </w:smartTag>
      <w:r>
        <w:rPr>
          <w:rFonts w:cs="Arial"/>
          <w:szCs w:val="22"/>
          <w:lang w:val="it-IT" w:eastAsia="it-IT"/>
        </w:rPr>
        <w:t xml:space="preserve"> analizza i rapporti e comun</w:t>
      </w:r>
      <w:r>
        <w:rPr>
          <w:rFonts w:cs="Arial"/>
          <w:szCs w:val="22"/>
          <w:lang w:val="it-IT" w:eastAsia="it-IT"/>
        </w:rPr>
        <w:t>i</w:t>
      </w:r>
      <w:r>
        <w:rPr>
          <w:rFonts w:cs="Arial"/>
          <w:szCs w:val="22"/>
          <w:lang w:val="it-IT" w:eastAsia="it-IT"/>
        </w:rPr>
        <w:t xml:space="preserve">ca i risultati </w:t>
      </w:r>
      <w:proofErr w:type="gramStart"/>
      <w:r>
        <w:rPr>
          <w:rFonts w:cs="Arial"/>
          <w:szCs w:val="22"/>
          <w:lang w:val="it-IT" w:eastAsia="it-IT"/>
        </w:rPr>
        <w:t>al</w:t>
      </w:r>
      <w:proofErr w:type="gramEnd"/>
      <w:r>
        <w:rPr>
          <w:rFonts w:cs="Arial"/>
          <w:szCs w:val="22"/>
          <w:lang w:val="it-IT" w:eastAsia="it-IT"/>
        </w:rPr>
        <w:t xml:space="preserve"> Cantone entro la fine di giugno.</w:t>
      </w:r>
    </w:p>
    <w:p w:rsidR="007719B7" w:rsidRDefault="007719B7">
      <w:pPr>
        <w:tabs>
          <w:tab w:val="left" w:pos="426"/>
        </w:tabs>
        <w:spacing w:line="240" w:lineRule="auto"/>
        <w:jc w:val="both"/>
        <w:rPr>
          <w:rFonts w:cs="Arial"/>
          <w:szCs w:val="22"/>
          <w:lang w:val="it-IT"/>
        </w:rPr>
      </w:pPr>
    </w:p>
    <w:p w:rsidR="007719B7" w:rsidRDefault="00C645AB">
      <w:pPr>
        <w:tabs>
          <w:tab w:val="left" w:pos="567"/>
        </w:tabs>
        <w:spacing w:after="120" w:line="240" w:lineRule="auto"/>
        <w:jc w:val="both"/>
        <w:rPr>
          <w:rFonts w:cs="Arial"/>
          <w:i/>
          <w:szCs w:val="22"/>
          <w:lang w:val="it-IT"/>
        </w:rPr>
      </w:pPr>
      <w:r>
        <w:rPr>
          <w:rFonts w:cs="Arial"/>
          <w:i/>
          <w:szCs w:val="22"/>
          <w:lang w:val="it-IT"/>
        </w:rPr>
        <w:t>7.4</w:t>
      </w:r>
      <w:r>
        <w:rPr>
          <w:rFonts w:cs="Arial"/>
          <w:i/>
          <w:szCs w:val="22"/>
          <w:lang w:val="it-IT"/>
        </w:rPr>
        <w:tab/>
        <w:t>Controlli a campione</w:t>
      </w:r>
    </w:p>
    <w:p w:rsidR="007719B7" w:rsidRDefault="00C645AB">
      <w:pPr>
        <w:widowControl/>
        <w:autoSpaceDE w:val="0"/>
        <w:autoSpaceDN w:val="0"/>
        <w:adjustRightInd w:val="0"/>
        <w:spacing w:line="240" w:lineRule="auto"/>
        <w:jc w:val="both"/>
        <w:rPr>
          <w:rFonts w:cs="Arial"/>
          <w:szCs w:val="22"/>
          <w:lang w:val="it-IT"/>
        </w:rPr>
      </w:pPr>
      <w:smartTag w:uri="urn:schemas-microsoft-com:office:smarttags" w:element="PersonName">
        <w:smartTagPr>
          <w:attr w:name="ProductID" w:val="la Confederazione"/>
        </w:smartTagPr>
        <w:r>
          <w:rPr>
            <w:rFonts w:cs="Arial"/>
            <w:szCs w:val="22"/>
            <w:lang w:val="it-IT" w:eastAsia="it-IT"/>
          </w:rPr>
          <w:t>La Confederazione</w:t>
        </w:r>
      </w:smartTag>
      <w:r>
        <w:rPr>
          <w:rFonts w:cs="Arial"/>
          <w:szCs w:val="22"/>
          <w:lang w:val="it-IT" w:eastAsia="it-IT"/>
        </w:rPr>
        <w:t xml:space="preserve"> ha facoltà di </w:t>
      </w:r>
      <w:proofErr w:type="gramStart"/>
      <w:r>
        <w:rPr>
          <w:rFonts w:cs="Arial"/>
          <w:szCs w:val="22"/>
          <w:lang w:val="it-IT" w:eastAsia="it-IT"/>
        </w:rPr>
        <w:t>effettuare</w:t>
      </w:r>
      <w:proofErr w:type="gramEnd"/>
      <w:r>
        <w:rPr>
          <w:rFonts w:cs="Arial"/>
          <w:szCs w:val="22"/>
          <w:lang w:val="it-IT" w:eastAsia="it-IT"/>
        </w:rPr>
        <w:t xml:space="preserve"> in qualsiasi momento controlli a campione. </w:t>
      </w:r>
      <w:proofErr w:type="gramStart"/>
      <w:r>
        <w:rPr>
          <w:rFonts w:cs="Arial"/>
          <w:szCs w:val="22"/>
          <w:lang w:val="it-IT" w:eastAsia="it-IT"/>
        </w:rPr>
        <w:t>Il</w:t>
      </w:r>
      <w:proofErr w:type="gramEnd"/>
      <w:r>
        <w:rPr>
          <w:rFonts w:cs="Arial"/>
          <w:szCs w:val="22"/>
          <w:lang w:val="it-IT" w:eastAsia="it-IT"/>
        </w:rPr>
        <w:t xml:space="preserve"> Ca</w:t>
      </w:r>
      <w:r>
        <w:rPr>
          <w:rFonts w:cs="Arial"/>
          <w:szCs w:val="22"/>
          <w:lang w:val="it-IT" w:eastAsia="it-IT"/>
        </w:rPr>
        <w:t>n</w:t>
      </w:r>
      <w:r>
        <w:rPr>
          <w:rFonts w:cs="Arial"/>
          <w:szCs w:val="22"/>
          <w:lang w:val="it-IT" w:eastAsia="it-IT"/>
        </w:rPr>
        <w:t>tone consente alla Confederazione di prendere visione di tutti i documenti rilevanti ai fini de</w:t>
      </w:r>
      <w:r>
        <w:rPr>
          <w:rFonts w:cs="Arial"/>
          <w:szCs w:val="22"/>
          <w:lang w:val="it-IT" w:eastAsia="it-IT"/>
        </w:rPr>
        <w:t>l</w:t>
      </w:r>
      <w:r>
        <w:rPr>
          <w:rFonts w:cs="Arial"/>
          <w:szCs w:val="22"/>
          <w:lang w:val="it-IT" w:eastAsia="it-IT"/>
        </w:rPr>
        <w:t>la convenzione di programma.</w:t>
      </w:r>
    </w:p>
    <w:p w:rsidR="007719B7" w:rsidRDefault="007719B7">
      <w:pPr>
        <w:tabs>
          <w:tab w:val="left" w:pos="426"/>
        </w:tabs>
        <w:spacing w:line="240" w:lineRule="auto"/>
        <w:jc w:val="both"/>
        <w:rPr>
          <w:rFonts w:cs="Arial"/>
          <w:szCs w:val="22"/>
          <w:lang w:val="it-IT"/>
        </w:rPr>
      </w:pPr>
    </w:p>
    <w:p w:rsidR="007719B7" w:rsidRDefault="007719B7">
      <w:pPr>
        <w:tabs>
          <w:tab w:val="left" w:pos="426"/>
        </w:tabs>
        <w:spacing w:line="240" w:lineRule="auto"/>
        <w:jc w:val="both"/>
        <w:rPr>
          <w:rFonts w:cs="Arial"/>
          <w:szCs w:val="22"/>
          <w:lang w:val="it-IT"/>
        </w:rPr>
      </w:pPr>
    </w:p>
    <w:p w:rsidR="007719B7" w:rsidRDefault="00C645AB">
      <w:pPr>
        <w:numPr>
          <w:ilvl w:val="0"/>
          <w:numId w:val="2"/>
        </w:numPr>
        <w:tabs>
          <w:tab w:val="clear" w:pos="360"/>
        </w:tabs>
        <w:spacing w:line="240" w:lineRule="auto"/>
        <w:ind w:left="567" w:hanging="567"/>
        <w:jc w:val="both"/>
        <w:rPr>
          <w:rFonts w:cs="Arial"/>
          <w:szCs w:val="22"/>
          <w:u w:val="single"/>
          <w:lang w:val="it-IT"/>
        </w:rPr>
      </w:pPr>
      <w:r>
        <w:rPr>
          <w:rFonts w:cs="Arial"/>
          <w:b/>
          <w:szCs w:val="22"/>
          <w:lang w:val="it-IT"/>
        </w:rPr>
        <w:t>Vigilanza finanziaria</w:t>
      </w:r>
    </w:p>
    <w:p w:rsidR="007719B7" w:rsidRDefault="007719B7">
      <w:pPr>
        <w:tabs>
          <w:tab w:val="left" w:pos="426"/>
        </w:tabs>
        <w:spacing w:line="240" w:lineRule="auto"/>
        <w:jc w:val="both"/>
        <w:rPr>
          <w:rFonts w:cs="Arial"/>
          <w:szCs w:val="22"/>
          <w:u w:val="single"/>
          <w:lang w:val="it-IT"/>
        </w:rPr>
      </w:pPr>
    </w:p>
    <w:p w:rsidR="007719B7" w:rsidRDefault="00C645AB">
      <w:pPr>
        <w:widowControl/>
        <w:autoSpaceDE w:val="0"/>
        <w:autoSpaceDN w:val="0"/>
        <w:adjustRightInd w:val="0"/>
        <w:spacing w:line="240" w:lineRule="auto"/>
        <w:jc w:val="both"/>
        <w:rPr>
          <w:rFonts w:cs="Arial"/>
          <w:szCs w:val="22"/>
          <w:lang w:val="it-IT" w:eastAsia="it-IT"/>
        </w:rPr>
      </w:pPr>
      <w:r>
        <w:rPr>
          <w:rFonts w:cs="Arial"/>
          <w:szCs w:val="22"/>
          <w:lang w:val="it-IT" w:eastAsia="it-IT"/>
        </w:rPr>
        <w:t xml:space="preserve">Il Controllo federale delle finanze (CDF) e il Controllo cantonale delle finanze </w:t>
      </w:r>
      <w:proofErr w:type="gramStart"/>
      <w:r>
        <w:rPr>
          <w:rFonts w:cs="Arial"/>
          <w:szCs w:val="22"/>
          <w:lang w:val="it-IT" w:eastAsia="it-IT"/>
        </w:rPr>
        <w:t>possono</w:t>
      </w:r>
      <w:proofErr w:type="gramEnd"/>
      <w:r>
        <w:rPr>
          <w:rFonts w:cs="Arial"/>
          <w:szCs w:val="22"/>
          <w:lang w:val="it-IT" w:eastAsia="it-IT"/>
        </w:rPr>
        <w:t xml:space="preserve"> verif</w:t>
      </w:r>
      <w:r>
        <w:rPr>
          <w:rFonts w:cs="Arial"/>
          <w:szCs w:val="22"/>
          <w:lang w:val="it-IT" w:eastAsia="it-IT"/>
        </w:rPr>
        <w:t>i</w:t>
      </w:r>
      <w:r>
        <w:rPr>
          <w:rFonts w:cs="Arial"/>
          <w:szCs w:val="22"/>
          <w:lang w:val="it-IT" w:eastAsia="it-IT"/>
        </w:rPr>
        <w:t xml:space="preserve">care in loco la sussistenza, la completezza e l’esattezza dei dati trasmessi dal Cantone. </w:t>
      </w:r>
      <w:proofErr w:type="gramStart"/>
      <w:r>
        <w:rPr>
          <w:rFonts w:cs="Arial"/>
          <w:szCs w:val="22"/>
          <w:lang w:val="it-IT" w:eastAsia="it-IT"/>
        </w:rPr>
        <w:t>Nel quadro dei</w:t>
      </w:r>
      <w:proofErr w:type="gramEnd"/>
      <w:r>
        <w:rPr>
          <w:rFonts w:cs="Arial"/>
          <w:szCs w:val="22"/>
          <w:lang w:val="it-IT" w:eastAsia="it-IT"/>
        </w:rPr>
        <w:t xml:space="preserve"> loro controlli il CDF e il Controllo cantonale delle finanze hanno accesso ai dati rilevati in relazione alla </w:t>
      </w:r>
      <w:r>
        <w:rPr>
          <w:rFonts w:cs="Arial"/>
          <w:szCs w:val="22"/>
          <w:lang w:val="it-IT"/>
        </w:rPr>
        <w:t xml:space="preserve">convenzione di </w:t>
      </w:r>
      <w:r>
        <w:rPr>
          <w:rFonts w:cs="Arial"/>
          <w:szCs w:val="22"/>
          <w:lang w:val="it-IT" w:eastAsia="it-IT"/>
        </w:rPr>
        <w:t xml:space="preserve">programma. Le </w:t>
      </w:r>
      <w:proofErr w:type="gramStart"/>
      <w:r>
        <w:rPr>
          <w:rFonts w:cs="Arial"/>
          <w:szCs w:val="22"/>
          <w:lang w:val="it-IT" w:eastAsia="it-IT"/>
        </w:rPr>
        <w:t>modalità</w:t>
      </w:r>
      <w:proofErr w:type="gramEnd"/>
      <w:r>
        <w:rPr>
          <w:rFonts w:cs="Arial"/>
          <w:szCs w:val="22"/>
          <w:lang w:val="it-IT" w:eastAsia="it-IT"/>
        </w:rPr>
        <w:t xml:space="preserve"> dell’esame sono stabilite anticipatamente di comune accordo tra il CDF e il Controllo cantonale delle finanze. Qualora non sia possibile una procedura condivisa, il CDF può </w:t>
      </w:r>
      <w:proofErr w:type="gramStart"/>
      <w:r>
        <w:rPr>
          <w:rFonts w:cs="Arial"/>
          <w:szCs w:val="22"/>
          <w:lang w:val="it-IT" w:eastAsia="it-IT"/>
        </w:rPr>
        <w:t>effettuare</w:t>
      </w:r>
      <w:proofErr w:type="gramEnd"/>
      <w:r>
        <w:rPr>
          <w:rFonts w:cs="Arial"/>
          <w:szCs w:val="22"/>
          <w:lang w:val="it-IT" w:eastAsia="it-IT"/>
        </w:rPr>
        <w:t xml:space="preserve"> i controlli in loco anche a</w:t>
      </w:r>
      <w:r>
        <w:rPr>
          <w:rFonts w:cs="Arial"/>
          <w:szCs w:val="22"/>
          <w:lang w:val="it-IT" w:eastAsia="it-IT"/>
        </w:rPr>
        <w:t>u</w:t>
      </w:r>
      <w:r>
        <w:rPr>
          <w:rFonts w:cs="Arial"/>
          <w:szCs w:val="22"/>
          <w:lang w:val="it-IT" w:eastAsia="it-IT"/>
        </w:rPr>
        <w:t xml:space="preserve">tonomamente. Il Controllo cantonale delle finanze deve sempre essere invitato al colloquio conclusivo. Tutte le parti ricevono direttamente tutti i rapporti di verifica </w:t>
      </w:r>
      <w:proofErr w:type="gramStart"/>
      <w:r>
        <w:rPr>
          <w:rFonts w:cs="Arial"/>
          <w:szCs w:val="22"/>
          <w:lang w:val="it-IT" w:eastAsia="it-IT"/>
        </w:rPr>
        <w:t>relativi al</w:t>
      </w:r>
      <w:r>
        <w:rPr>
          <w:rFonts w:cs="Arial"/>
          <w:szCs w:val="22"/>
          <w:lang w:val="it-IT"/>
        </w:rPr>
        <w:t>la</w:t>
      </w:r>
      <w:proofErr w:type="gramEnd"/>
      <w:r>
        <w:rPr>
          <w:rFonts w:cs="Arial"/>
          <w:szCs w:val="22"/>
          <w:lang w:val="it-IT"/>
        </w:rPr>
        <w:t xml:space="preserve"> presente convenzione</w:t>
      </w:r>
      <w:r>
        <w:rPr>
          <w:rFonts w:cs="Arial"/>
          <w:szCs w:val="22"/>
          <w:lang w:val="it-IT" w:eastAsia="it-IT"/>
        </w:rPr>
        <w:t>.</w:t>
      </w:r>
    </w:p>
    <w:p w:rsidR="007719B7" w:rsidRDefault="007719B7">
      <w:pPr>
        <w:tabs>
          <w:tab w:val="left" w:pos="426"/>
        </w:tabs>
        <w:spacing w:line="240" w:lineRule="auto"/>
        <w:rPr>
          <w:rFonts w:cs="Arial"/>
          <w:szCs w:val="22"/>
          <w:lang w:val="it-IT"/>
        </w:rPr>
      </w:pPr>
    </w:p>
    <w:p w:rsidR="007719B7" w:rsidRDefault="007719B7">
      <w:pPr>
        <w:tabs>
          <w:tab w:val="left" w:pos="567"/>
        </w:tabs>
        <w:spacing w:line="240" w:lineRule="auto"/>
        <w:rPr>
          <w:rFonts w:cs="Arial"/>
          <w:szCs w:val="22"/>
          <w:lang w:val="it-IT"/>
        </w:rPr>
      </w:pPr>
    </w:p>
    <w:p w:rsidR="007719B7" w:rsidRDefault="00C645AB">
      <w:pPr>
        <w:numPr>
          <w:ilvl w:val="0"/>
          <w:numId w:val="2"/>
        </w:numPr>
        <w:tabs>
          <w:tab w:val="clear" w:pos="360"/>
        </w:tabs>
        <w:spacing w:line="240" w:lineRule="auto"/>
        <w:ind w:left="567" w:hanging="567"/>
        <w:rPr>
          <w:rFonts w:cs="Arial"/>
          <w:szCs w:val="22"/>
          <w:lang w:val="it-IT"/>
        </w:rPr>
      </w:pPr>
      <w:r>
        <w:rPr>
          <w:rFonts w:cs="Arial"/>
          <w:b/>
          <w:szCs w:val="22"/>
          <w:lang w:val="it-IT"/>
        </w:rPr>
        <w:t>Adempimento della convenzione di programma</w:t>
      </w:r>
    </w:p>
    <w:p w:rsidR="007719B7" w:rsidRDefault="007719B7">
      <w:pPr>
        <w:tabs>
          <w:tab w:val="left" w:pos="426"/>
        </w:tabs>
        <w:spacing w:line="240" w:lineRule="auto"/>
        <w:rPr>
          <w:rFonts w:cs="Arial"/>
          <w:szCs w:val="22"/>
          <w:lang w:val="it-IT"/>
        </w:rPr>
      </w:pPr>
    </w:p>
    <w:p w:rsidR="007719B7" w:rsidRDefault="00C645AB">
      <w:pPr>
        <w:tabs>
          <w:tab w:val="left" w:pos="567"/>
        </w:tabs>
        <w:spacing w:after="120" w:line="240" w:lineRule="auto"/>
        <w:rPr>
          <w:rFonts w:cs="Arial"/>
          <w:i/>
          <w:szCs w:val="22"/>
          <w:lang w:val="it-IT"/>
        </w:rPr>
      </w:pPr>
      <w:r>
        <w:rPr>
          <w:rFonts w:cs="Arial"/>
          <w:i/>
          <w:szCs w:val="22"/>
          <w:lang w:val="it-IT"/>
        </w:rPr>
        <w:t>9.1</w:t>
      </w:r>
      <w:r>
        <w:rPr>
          <w:rFonts w:cs="Arial"/>
          <w:i/>
          <w:szCs w:val="22"/>
          <w:lang w:val="it-IT"/>
        </w:rPr>
        <w:tab/>
        <w:t>Adempimento</w:t>
      </w:r>
    </w:p>
    <w:p w:rsidR="007719B7" w:rsidRDefault="00C645AB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  <w:lang w:val="it-IT"/>
        </w:rPr>
      </w:pPr>
      <w:r>
        <w:rPr>
          <w:rFonts w:cs="Arial"/>
          <w:szCs w:val="22"/>
          <w:lang w:val="it-IT" w:eastAsia="it-IT"/>
        </w:rPr>
        <w:t xml:space="preserve">La convenzione di programma si ritiene </w:t>
      </w:r>
      <w:proofErr w:type="gramStart"/>
      <w:r>
        <w:rPr>
          <w:rFonts w:cs="Arial"/>
          <w:szCs w:val="22"/>
          <w:lang w:val="it-IT" w:eastAsia="it-IT"/>
        </w:rPr>
        <w:t>adempiuta se al</w:t>
      </w:r>
      <w:proofErr w:type="gramEnd"/>
      <w:r>
        <w:rPr>
          <w:rFonts w:cs="Arial"/>
          <w:szCs w:val="22"/>
          <w:lang w:val="it-IT" w:eastAsia="it-IT"/>
        </w:rPr>
        <w:t xml:space="preserve"> termine del suo periodo di validità gli obiettivi programmatici strategici definiti in base agli indicatori (cfr. punto 5.1) sono stati raggiunti e i contributi federali di cui ai punti 5.2 e 6 sono stati erogati.</w:t>
      </w:r>
    </w:p>
    <w:p w:rsidR="007719B7" w:rsidRDefault="007719B7">
      <w:pPr>
        <w:tabs>
          <w:tab w:val="left" w:pos="426"/>
        </w:tabs>
        <w:spacing w:line="240" w:lineRule="auto"/>
        <w:rPr>
          <w:rFonts w:cs="Arial"/>
          <w:szCs w:val="22"/>
          <w:lang w:val="it-IT"/>
        </w:rPr>
      </w:pPr>
    </w:p>
    <w:p w:rsidR="007719B7" w:rsidRDefault="00C645AB">
      <w:pPr>
        <w:tabs>
          <w:tab w:val="left" w:pos="567"/>
        </w:tabs>
        <w:spacing w:after="120" w:line="240" w:lineRule="auto"/>
        <w:rPr>
          <w:rFonts w:cs="Arial"/>
          <w:i/>
          <w:szCs w:val="22"/>
          <w:lang w:val="it-IT"/>
        </w:rPr>
      </w:pPr>
      <w:r>
        <w:rPr>
          <w:rFonts w:cs="Arial"/>
          <w:i/>
          <w:szCs w:val="22"/>
          <w:lang w:val="it-IT"/>
        </w:rPr>
        <w:t>9.2</w:t>
      </w:r>
      <w:r>
        <w:rPr>
          <w:rFonts w:cs="Arial"/>
          <w:i/>
          <w:szCs w:val="22"/>
          <w:lang w:val="it-IT"/>
        </w:rPr>
        <w:tab/>
        <w:t>Perfezionamenti successivi</w:t>
      </w:r>
    </w:p>
    <w:p w:rsidR="007719B7" w:rsidRDefault="00C645AB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  <w:lang w:val="it-IT"/>
        </w:rPr>
      </w:pPr>
      <w:r>
        <w:rPr>
          <w:rFonts w:cs="Arial"/>
          <w:szCs w:val="22"/>
          <w:lang w:val="it-IT" w:eastAsia="it-IT"/>
        </w:rPr>
        <w:t xml:space="preserve">Qualora uno o più obiettivi programmatici strategici definiti in base agli indicatori non siano stati raggiunti entro i termini concordati, </w:t>
      </w:r>
      <w:smartTag w:uri="urn:schemas-microsoft-com:office:smarttags" w:element="PersonName">
        <w:smartTagPr>
          <w:attr w:name="ProductID" w:val="la Confederazione"/>
        </w:smartTagPr>
        <w:r>
          <w:rPr>
            <w:rFonts w:cs="Arial"/>
            <w:szCs w:val="22"/>
            <w:lang w:val="it-IT" w:eastAsia="it-IT"/>
          </w:rPr>
          <w:t>la Confederazione</w:t>
        </w:r>
      </w:smartTag>
      <w:r>
        <w:rPr>
          <w:rFonts w:cs="Arial"/>
          <w:szCs w:val="22"/>
          <w:lang w:val="it-IT" w:eastAsia="it-IT"/>
        </w:rPr>
        <w:t xml:space="preserve"> </w:t>
      </w:r>
      <w:proofErr w:type="gramStart"/>
      <w:r>
        <w:rPr>
          <w:rFonts w:cs="Arial"/>
          <w:szCs w:val="22"/>
          <w:lang w:val="it-IT" w:eastAsia="it-IT"/>
        </w:rPr>
        <w:t>può concedere</w:t>
      </w:r>
      <w:proofErr w:type="gramEnd"/>
      <w:r>
        <w:rPr>
          <w:rFonts w:cs="Arial"/>
          <w:szCs w:val="22"/>
          <w:lang w:val="it-IT" w:eastAsia="it-IT"/>
        </w:rPr>
        <w:t xml:space="preserve"> al Cantone un ulteriore termine di scadenza (al massimo un anno) per conseguire quanto convenuto. Per questi perfezionamenti </w:t>
      </w:r>
      <w:smartTag w:uri="urn:schemas-microsoft-com:office:smarttags" w:element="PersonName">
        <w:smartTagPr>
          <w:attr w:name="ProductID" w:val="la Confederazione"/>
        </w:smartTagPr>
        <w:r>
          <w:rPr>
            <w:rFonts w:cs="Arial"/>
            <w:szCs w:val="22"/>
            <w:lang w:val="it-IT" w:eastAsia="it-IT"/>
          </w:rPr>
          <w:t>la Confederazione</w:t>
        </w:r>
      </w:smartTag>
      <w:r>
        <w:rPr>
          <w:rFonts w:cs="Arial"/>
          <w:szCs w:val="22"/>
          <w:lang w:val="it-IT" w:eastAsia="it-IT"/>
        </w:rPr>
        <w:t xml:space="preserve"> non fornisce </w:t>
      </w:r>
      <w:proofErr w:type="gramStart"/>
      <w:r>
        <w:rPr>
          <w:rFonts w:cs="Arial"/>
          <w:szCs w:val="22"/>
          <w:lang w:val="it-IT" w:eastAsia="it-IT"/>
        </w:rPr>
        <w:t>ulteriori</w:t>
      </w:r>
      <w:proofErr w:type="gramEnd"/>
      <w:r>
        <w:rPr>
          <w:rFonts w:cs="Arial"/>
          <w:szCs w:val="22"/>
          <w:lang w:val="it-IT" w:eastAsia="it-IT"/>
        </w:rPr>
        <w:t xml:space="preserve"> contributi oltre a quelli di cui al punto 5.2. L’obbligo di </w:t>
      </w:r>
      <w:proofErr w:type="gramStart"/>
      <w:r>
        <w:rPr>
          <w:rFonts w:cs="Arial"/>
          <w:szCs w:val="22"/>
          <w:lang w:val="it-IT" w:eastAsia="it-IT"/>
        </w:rPr>
        <w:t>provvedere a</w:t>
      </w:r>
      <w:proofErr w:type="gramEnd"/>
      <w:r>
        <w:rPr>
          <w:rFonts w:cs="Arial"/>
          <w:szCs w:val="22"/>
          <w:lang w:val="it-IT" w:eastAsia="it-IT"/>
        </w:rPr>
        <w:t xml:space="preserve"> tali perfezionamenti decade nel caso in cui il Cantone sia in grado di dimostrare che la prestazione convenuta non può essere resa a causa di ci</w:t>
      </w:r>
      <w:r>
        <w:rPr>
          <w:rFonts w:cs="Arial"/>
          <w:szCs w:val="22"/>
          <w:lang w:val="it-IT" w:eastAsia="it-IT"/>
        </w:rPr>
        <w:t>r</w:t>
      </w:r>
      <w:r>
        <w:rPr>
          <w:rFonts w:cs="Arial"/>
          <w:szCs w:val="22"/>
          <w:lang w:val="it-IT" w:eastAsia="it-IT"/>
        </w:rPr>
        <w:t>costanze esogene non imputabili al Cantone stesso.</w:t>
      </w:r>
    </w:p>
    <w:p w:rsidR="007719B7" w:rsidRDefault="007719B7">
      <w:pPr>
        <w:tabs>
          <w:tab w:val="left" w:pos="426"/>
        </w:tabs>
        <w:spacing w:line="240" w:lineRule="auto"/>
        <w:rPr>
          <w:rFonts w:cs="Arial"/>
          <w:szCs w:val="22"/>
          <w:lang w:val="it-IT"/>
        </w:rPr>
      </w:pPr>
    </w:p>
    <w:p w:rsidR="007719B7" w:rsidRDefault="007719B7">
      <w:pPr>
        <w:tabs>
          <w:tab w:val="left" w:pos="426"/>
        </w:tabs>
        <w:spacing w:line="240" w:lineRule="auto"/>
        <w:rPr>
          <w:rFonts w:cs="Arial"/>
          <w:szCs w:val="22"/>
          <w:lang w:val="it-IT"/>
        </w:rPr>
      </w:pPr>
    </w:p>
    <w:p w:rsidR="007719B7" w:rsidRDefault="00C645AB">
      <w:pPr>
        <w:numPr>
          <w:ilvl w:val="0"/>
          <w:numId w:val="2"/>
        </w:numPr>
        <w:tabs>
          <w:tab w:val="clear" w:pos="360"/>
        </w:tabs>
        <w:spacing w:line="240" w:lineRule="auto"/>
        <w:ind w:left="567" w:hanging="567"/>
        <w:rPr>
          <w:rFonts w:cs="Arial"/>
          <w:szCs w:val="22"/>
          <w:lang w:val="it-IT"/>
        </w:rPr>
      </w:pPr>
      <w:r>
        <w:rPr>
          <w:rFonts w:cs="Arial"/>
          <w:b/>
          <w:szCs w:val="22"/>
          <w:lang w:val="it-IT"/>
        </w:rPr>
        <w:br w:type="page"/>
      </w:r>
      <w:proofErr w:type="gramStart"/>
      <w:r>
        <w:rPr>
          <w:rFonts w:cs="Arial"/>
          <w:b/>
          <w:szCs w:val="22"/>
          <w:lang w:val="it-IT"/>
        </w:rPr>
        <w:lastRenderedPageBreak/>
        <w:t>Modalità</w:t>
      </w:r>
      <w:proofErr w:type="gramEnd"/>
      <w:r>
        <w:rPr>
          <w:rFonts w:cs="Arial"/>
          <w:b/>
          <w:szCs w:val="22"/>
          <w:lang w:val="it-IT"/>
        </w:rPr>
        <w:t xml:space="preserve"> di adeguamento</w:t>
      </w:r>
    </w:p>
    <w:p w:rsidR="007719B7" w:rsidRDefault="007719B7">
      <w:pPr>
        <w:shd w:val="clear" w:color="auto" w:fill="FFFFFF"/>
        <w:tabs>
          <w:tab w:val="left" w:pos="426"/>
        </w:tabs>
        <w:spacing w:line="240" w:lineRule="auto"/>
        <w:rPr>
          <w:rFonts w:cs="Arial"/>
          <w:szCs w:val="22"/>
          <w:lang w:val="it-IT"/>
        </w:rPr>
      </w:pPr>
    </w:p>
    <w:p w:rsidR="007719B7" w:rsidRDefault="00C645AB">
      <w:pPr>
        <w:tabs>
          <w:tab w:val="left" w:pos="567"/>
        </w:tabs>
        <w:spacing w:after="120" w:line="240" w:lineRule="auto"/>
        <w:rPr>
          <w:rFonts w:cs="Arial"/>
          <w:i/>
          <w:szCs w:val="22"/>
          <w:lang w:val="it-IT"/>
        </w:rPr>
      </w:pPr>
      <w:r>
        <w:rPr>
          <w:rFonts w:cs="Arial"/>
          <w:i/>
          <w:szCs w:val="22"/>
          <w:lang w:val="it-IT"/>
        </w:rPr>
        <w:t>10.1</w:t>
      </w:r>
      <w:r>
        <w:rPr>
          <w:rFonts w:cs="Arial"/>
          <w:i/>
          <w:szCs w:val="22"/>
          <w:lang w:val="it-IT"/>
        </w:rPr>
        <w:tab/>
        <w:t>Modifica delle condizioni generali</w:t>
      </w:r>
    </w:p>
    <w:p w:rsidR="007719B7" w:rsidRDefault="00C645AB">
      <w:pPr>
        <w:shd w:val="clear" w:color="auto" w:fill="FFFFFF"/>
        <w:tabs>
          <w:tab w:val="left" w:pos="426"/>
        </w:tabs>
        <w:spacing w:line="240" w:lineRule="auto"/>
        <w:rPr>
          <w:rFonts w:cs="Arial"/>
          <w:szCs w:val="22"/>
          <w:lang w:val="it-IT" w:eastAsia="it-IT"/>
        </w:rPr>
      </w:pPr>
      <w:r>
        <w:rPr>
          <w:rFonts w:cs="Arial"/>
          <w:szCs w:val="22"/>
          <w:lang w:val="it-IT" w:eastAsia="it-IT"/>
        </w:rPr>
        <w:t xml:space="preserve">Qualora nel corso del periodo di validità della convenzione le condizioni generali subiscano modifiche in misura tale da rendere l’adempimento della convenzione oltremodo difficoltoso </w:t>
      </w:r>
      <w:proofErr w:type="gramStart"/>
      <w:r>
        <w:rPr>
          <w:rFonts w:cs="Arial"/>
          <w:szCs w:val="22"/>
          <w:lang w:val="it-IT" w:eastAsia="it-IT"/>
        </w:rPr>
        <w:t>o</w:t>
      </w:r>
      <w:proofErr w:type="gramEnd"/>
      <w:r>
        <w:rPr>
          <w:rFonts w:cs="Arial"/>
          <w:szCs w:val="22"/>
          <w:lang w:val="it-IT" w:eastAsia="it-IT"/>
        </w:rPr>
        <w:t xml:space="preserve"> agevolato, le parti ridefiniscono l’oggetto della convenzione oppure risolvono anticipat</w:t>
      </w:r>
      <w:r>
        <w:rPr>
          <w:rFonts w:cs="Arial"/>
          <w:szCs w:val="22"/>
          <w:lang w:val="it-IT" w:eastAsia="it-IT"/>
        </w:rPr>
        <w:t>a</w:t>
      </w:r>
      <w:r>
        <w:rPr>
          <w:rFonts w:cs="Arial"/>
          <w:szCs w:val="22"/>
          <w:lang w:val="it-IT" w:eastAsia="it-IT"/>
        </w:rPr>
        <w:t xml:space="preserve">mente la </w:t>
      </w:r>
      <w:r>
        <w:rPr>
          <w:rFonts w:cs="Arial"/>
          <w:szCs w:val="22"/>
          <w:lang w:val="it-IT"/>
        </w:rPr>
        <w:t>convenzione</w:t>
      </w:r>
      <w:r>
        <w:rPr>
          <w:rFonts w:cs="Arial"/>
          <w:szCs w:val="22"/>
          <w:lang w:val="it-IT" w:eastAsia="it-IT"/>
        </w:rPr>
        <w:t xml:space="preserve"> di programma stessa.</w:t>
      </w:r>
    </w:p>
    <w:p w:rsidR="007719B7" w:rsidRDefault="007719B7">
      <w:pPr>
        <w:shd w:val="clear" w:color="auto" w:fill="FFFFFF"/>
        <w:tabs>
          <w:tab w:val="left" w:pos="426"/>
        </w:tabs>
        <w:spacing w:line="240" w:lineRule="auto"/>
        <w:rPr>
          <w:rFonts w:cs="Arial"/>
          <w:szCs w:val="22"/>
          <w:lang w:val="it-IT"/>
        </w:rPr>
      </w:pPr>
    </w:p>
    <w:p w:rsidR="007719B7" w:rsidRDefault="00C645AB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  <w:lang w:val="it-IT"/>
        </w:rPr>
      </w:pPr>
      <w:r>
        <w:rPr>
          <w:rFonts w:cs="Arial"/>
          <w:szCs w:val="22"/>
          <w:lang w:val="it-IT" w:eastAsia="it-IT"/>
        </w:rPr>
        <w:t xml:space="preserve">Le parti </w:t>
      </w:r>
      <w:proofErr w:type="gramStart"/>
      <w:r>
        <w:rPr>
          <w:rFonts w:cs="Arial"/>
          <w:szCs w:val="22"/>
          <w:lang w:val="it-IT" w:eastAsia="it-IT"/>
        </w:rPr>
        <w:t xml:space="preserve">si </w:t>
      </w:r>
      <w:proofErr w:type="gramEnd"/>
      <w:r>
        <w:rPr>
          <w:rFonts w:cs="Arial"/>
          <w:szCs w:val="22"/>
          <w:lang w:val="it-IT" w:eastAsia="it-IT"/>
        </w:rPr>
        <w:t>impegnano a tenersi vicendevolmente informate in caso di importanti modifiche delle condizioni generali.</w:t>
      </w:r>
    </w:p>
    <w:p w:rsidR="007719B7" w:rsidRDefault="007719B7">
      <w:pPr>
        <w:shd w:val="clear" w:color="auto" w:fill="FFFFFF"/>
        <w:tabs>
          <w:tab w:val="left" w:pos="426"/>
        </w:tabs>
        <w:spacing w:line="240" w:lineRule="auto"/>
        <w:rPr>
          <w:rFonts w:cs="Arial"/>
          <w:szCs w:val="22"/>
          <w:lang w:val="it-IT"/>
        </w:rPr>
      </w:pPr>
    </w:p>
    <w:p w:rsidR="007719B7" w:rsidRDefault="00C645AB">
      <w:pPr>
        <w:shd w:val="clear" w:color="auto" w:fill="FFFFFF"/>
        <w:tabs>
          <w:tab w:val="left" w:pos="426"/>
        </w:tabs>
        <w:spacing w:line="240" w:lineRule="auto"/>
        <w:rPr>
          <w:rFonts w:cs="Arial"/>
          <w:szCs w:val="22"/>
          <w:lang w:val="it-IT"/>
        </w:rPr>
      </w:pPr>
      <w:proofErr w:type="gramStart"/>
      <w:r>
        <w:rPr>
          <w:rFonts w:cs="Arial"/>
          <w:szCs w:val="22"/>
          <w:lang w:val="it-IT"/>
        </w:rPr>
        <w:t>In ordine alla</w:t>
      </w:r>
      <w:proofErr w:type="gramEnd"/>
      <w:r>
        <w:rPr>
          <w:rFonts w:cs="Arial"/>
          <w:szCs w:val="22"/>
          <w:lang w:val="it-IT"/>
        </w:rPr>
        <w:t xml:space="preserve"> somma forfettaria a favore dell’integrazione si applicano esclusivamente le m</w:t>
      </w:r>
      <w:r>
        <w:rPr>
          <w:rFonts w:cs="Arial"/>
          <w:szCs w:val="22"/>
          <w:lang w:val="it-IT"/>
        </w:rPr>
        <w:t>o</w:t>
      </w:r>
      <w:r>
        <w:rPr>
          <w:rFonts w:cs="Arial"/>
          <w:szCs w:val="22"/>
          <w:lang w:val="it-IT"/>
        </w:rPr>
        <w:t>dalità stabilite nel documento di base del 23 novembre 2011 (punti 6.5-6.8).</w:t>
      </w:r>
    </w:p>
    <w:p w:rsidR="007719B7" w:rsidRDefault="007719B7">
      <w:pPr>
        <w:shd w:val="clear" w:color="auto" w:fill="FFFFFF"/>
        <w:tabs>
          <w:tab w:val="left" w:pos="426"/>
        </w:tabs>
        <w:spacing w:line="240" w:lineRule="auto"/>
        <w:rPr>
          <w:rFonts w:cs="Arial"/>
          <w:szCs w:val="22"/>
          <w:lang w:val="it-IT"/>
        </w:rPr>
      </w:pPr>
    </w:p>
    <w:p w:rsidR="007719B7" w:rsidRDefault="00C645AB">
      <w:pPr>
        <w:spacing w:after="120" w:line="240" w:lineRule="auto"/>
        <w:ind w:left="567" w:hanging="567"/>
        <w:rPr>
          <w:rFonts w:cs="Arial"/>
          <w:i/>
          <w:iCs/>
          <w:szCs w:val="22"/>
          <w:lang w:val="it-IT"/>
        </w:rPr>
      </w:pPr>
      <w:r>
        <w:rPr>
          <w:rFonts w:cs="Arial"/>
          <w:i/>
          <w:szCs w:val="22"/>
          <w:lang w:val="it-IT"/>
        </w:rPr>
        <w:t>10.2</w:t>
      </w:r>
      <w:r>
        <w:rPr>
          <w:rFonts w:cs="Arial"/>
          <w:i/>
          <w:szCs w:val="22"/>
          <w:lang w:val="it-IT"/>
        </w:rPr>
        <w:tab/>
      </w:r>
      <w:r>
        <w:rPr>
          <w:rFonts w:cs="Arial"/>
          <w:i/>
          <w:iCs/>
          <w:szCs w:val="22"/>
          <w:lang w:val="it-IT"/>
        </w:rPr>
        <w:t>Richiesta</w:t>
      </w:r>
    </w:p>
    <w:p w:rsidR="007719B7" w:rsidRDefault="00C645AB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  <w:lang w:val="it-IT"/>
        </w:rPr>
      </w:pPr>
      <w:r>
        <w:rPr>
          <w:rFonts w:cs="Arial"/>
          <w:szCs w:val="22"/>
          <w:lang w:val="it-IT" w:eastAsia="it-IT"/>
        </w:rPr>
        <w:t xml:space="preserve">Per ottenere una </w:t>
      </w:r>
      <w:proofErr w:type="gramStart"/>
      <w:r>
        <w:rPr>
          <w:rFonts w:cs="Arial"/>
          <w:szCs w:val="22"/>
          <w:lang w:val="it-IT" w:eastAsia="it-IT"/>
        </w:rPr>
        <w:t>revisione</w:t>
      </w:r>
      <w:proofErr w:type="gramEnd"/>
      <w:r>
        <w:rPr>
          <w:rFonts w:cs="Arial"/>
          <w:szCs w:val="22"/>
          <w:lang w:val="it-IT" w:eastAsia="it-IT"/>
        </w:rPr>
        <w:t xml:space="preserve"> della convenzione ai sensi del punto 10.1, occorre inoltrare id</w:t>
      </w:r>
      <w:r>
        <w:rPr>
          <w:rFonts w:cs="Arial"/>
          <w:szCs w:val="22"/>
          <w:lang w:val="it-IT" w:eastAsia="it-IT"/>
        </w:rPr>
        <w:t>o</w:t>
      </w:r>
      <w:r>
        <w:rPr>
          <w:rFonts w:cs="Arial"/>
          <w:szCs w:val="22"/>
          <w:lang w:val="it-IT" w:eastAsia="it-IT"/>
        </w:rPr>
        <w:t>nea richiesta all’altra parte adducendo esplicitamente le ragioni della richiesta.</w:t>
      </w:r>
    </w:p>
    <w:p w:rsidR="007719B7" w:rsidRDefault="007719B7">
      <w:pPr>
        <w:shd w:val="clear" w:color="auto" w:fill="FFFFFF"/>
        <w:tabs>
          <w:tab w:val="left" w:pos="426"/>
        </w:tabs>
        <w:spacing w:line="240" w:lineRule="auto"/>
        <w:rPr>
          <w:rFonts w:cs="Arial"/>
          <w:szCs w:val="22"/>
          <w:lang w:val="it-IT"/>
        </w:rPr>
      </w:pPr>
    </w:p>
    <w:p w:rsidR="007719B7" w:rsidRDefault="00C645AB">
      <w:pPr>
        <w:tabs>
          <w:tab w:val="left" w:pos="567"/>
        </w:tabs>
        <w:spacing w:after="120" w:line="240" w:lineRule="auto"/>
        <w:rPr>
          <w:rFonts w:cs="Arial"/>
          <w:i/>
          <w:szCs w:val="22"/>
          <w:lang w:val="it-IT"/>
        </w:rPr>
      </w:pPr>
      <w:r>
        <w:rPr>
          <w:rFonts w:cs="Arial"/>
          <w:i/>
          <w:szCs w:val="22"/>
          <w:lang w:val="it-IT"/>
        </w:rPr>
        <w:t>10.3</w:t>
      </w:r>
      <w:r>
        <w:rPr>
          <w:rFonts w:cs="Arial"/>
          <w:i/>
          <w:szCs w:val="22"/>
          <w:lang w:val="it-IT"/>
        </w:rPr>
        <w:tab/>
        <w:t xml:space="preserve">Clausola di </w:t>
      </w:r>
      <w:proofErr w:type="gramStart"/>
      <w:r>
        <w:rPr>
          <w:rFonts w:cs="Arial"/>
          <w:i/>
          <w:szCs w:val="22"/>
          <w:lang w:val="it-IT"/>
        </w:rPr>
        <w:t>salvaguardia</w:t>
      </w:r>
      <w:proofErr w:type="gramEnd"/>
    </w:p>
    <w:p w:rsidR="007719B7" w:rsidRDefault="00C645AB">
      <w:pPr>
        <w:spacing w:line="240" w:lineRule="auto"/>
        <w:rPr>
          <w:rFonts w:cs="Arial"/>
          <w:szCs w:val="22"/>
          <w:lang w:val="it-IT"/>
        </w:rPr>
      </w:pPr>
      <w:r>
        <w:rPr>
          <w:rFonts w:cs="Arial"/>
          <w:szCs w:val="22"/>
          <w:lang w:val="it-IT" w:eastAsia="it-IT"/>
        </w:rPr>
        <w:t xml:space="preserve">Qualora una disposizione </w:t>
      </w:r>
      <w:r>
        <w:rPr>
          <w:rFonts w:cs="Arial"/>
          <w:szCs w:val="22"/>
          <w:lang w:val="it-IT"/>
        </w:rPr>
        <w:t xml:space="preserve">della presente convenzione </w:t>
      </w:r>
      <w:proofErr w:type="gramStart"/>
      <w:r>
        <w:rPr>
          <w:rFonts w:cs="Arial"/>
          <w:szCs w:val="22"/>
          <w:lang w:val="it-IT" w:eastAsia="it-IT"/>
        </w:rPr>
        <w:t>risulti essere</w:t>
      </w:r>
      <w:proofErr w:type="gramEnd"/>
      <w:r>
        <w:rPr>
          <w:rFonts w:cs="Arial"/>
          <w:szCs w:val="22"/>
          <w:lang w:val="it-IT" w:eastAsia="it-IT"/>
        </w:rPr>
        <w:t>, in tutto o in parte, ineff</w:t>
      </w:r>
      <w:r>
        <w:rPr>
          <w:rFonts w:cs="Arial"/>
          <w:szCs w:val="22"/>
          <w:lang w:val="it-IT" w:eastAsia="it-IT"/>
        </w:rPr>
        <w:t>i</w:t>
      </w:r>
      <w:r>
        <w:rPr>
          <w:rFonts w:cs="Arial"/>
          <w:szCs w:val="22"/>
          <w:lang w:val="it-IT" w:eastAsia="it-IT"/>
        </w:rPr>
        <w:t>cace, essa non inficia l’intero della convenzione di programma. Tale disposizione è quindi da interpretarsi in modo tale da consentire quanto più possibile il raggiungimento dello scopo perseguito</w:t>
      </w:r>
      <w:r>
        <w:rPr>
          <w:rFonts w:cs="Arial"/>
          <w:szCs w:val="22"/>
          <w:lang w:val="it-IT"/>
        </w:rPr>
        <w:t>.</w:t>
      </w:r>
    </w:p>
    <w:p w:rsidR="007719B7" w:rsidRDefault="007719B7">
      <w:pPr>
        <w:spacing w:line="240" w:lineRule="auto"/>
        <w:rPr>
          <w:rFonts w:cs="Arial"/>
          <w:szCs w:val="22"/>
          <w:lang w:val="it-IT"/>
        </w:rPr>
      </w:pPr>
    </w:p>
    <w:p w:rsidR="007719B7" w:rsidRDefault="007719B7">
      <w:pPr>
        <w:spacing w:line="240" w:lineRule="auto"/>
        <w:rPr>
          <w:rFonts w:cs="Arial"/>
          <w:szCs w:val="22"/>
          <w:lang w:val="it-IT"/>
        </w:rPr>
      </w:pPr>
    </w:p>
    <w:p w:rsidR="007719B7" w:rsidRDefault="00C645AB">
      <w:pPr>
        <w:numPr>
          <w:ilvl w:val="0"/>
          <w:numId w:val="2"/>
        </w:numPr>
        <w:tabs>
          <w:tab w:val="clear" w:pos="360"/>
        </w:tabs>
        <w:spacing w:line="240" w:lineRule="auto"/>
        <w:ind w:left="567" w:hanging="567"/>
        <w:rPr>
          <w:rFonts w:cs="Arial"/>
          <w:b/>
          <w:szCs w:val="22"/>
          <w:lang w:val="it-IT"/>
        </w:rPr>
      </w:pPr>
      <w:r>
        <w:rPr>
          <w:rFonts w:cs="Arial"/>
          <w:b/>
          <w:szCs w:val="22"/>
          <w:lang w:val="it-IT"/>
        </w:rPr>
        <w:t>Principio di cooperazione</w:t>
      </w:r>
    </w:p>
    <w:p w:rsidR="007719B7" w:rsidRDefault="007719B7">
      <w:pPr>
        <w:tabs>
          <w:tab w:val="left" w:pos="426"/>
        </w:tabs>
        <w:spacing w:line="240" w:lineRule="auto"/>
        <w:rPr>
          <w:rFonts w:cs="Arial"/>
          <w:szCs w:val="22"/>
          <w:lang w:val="it-IT"/>
        </w:rPr>
      </w:pPr>
    </w:p>
    <w:p w:rsidR="007719B7" w:rsidRDefault="00C645AB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  <w:lang w:val="it-IT" w:eastAsia="it-IT"/>
        </w:rPr>
      </w:pPr>
      <w:r>
        <w:rPr>
          <w:rFonts w:cs="Arial"/>
          <w:szCs w:val="22"/>
          <w:lang w:val="it-IT" w:eastAsia="it-IT"/>
        </w:rPr>
        <w:t xml:space="preserve">Le parti </w:t>
      </w:r>
      <w:proofErr w:type="gramStart"/>
      <w:r>
        <w:rPr>
          <w:rFonts w:cs="Arial"/>
          <w:szCs w:val="22"/>
          <w:lang w:val="it-IT" w:eastAsia="it-IT"/>
        </w:rPr>
        <w:t xml:space="preserve">si </w:t>
      </w:r>
      <w:proofErr w:type="gramEnd"/>
      <w:r>
        <w:rPr>
          <w:rFonts w:cs="Arial"/>
          <w:szCs w:val="22"/>
          <w:lang w:val="it-IT" w:eastAsia="it-IT"/>
        </w:rPr>
        <w:t xml:space="preserve">impegnano a comporre, possibilmente con spirito cooperativo, tutte le divergenze di opinione e le controversie derivanti </w:t>
      </w:r>
      <w:r>
        <w:rPr>
          <w:rFonts w:cs="Arial"/>
          <w:szCs w:val="22"/>
          <w:lang w:val="it-IT"/>
        </w:rPr>
        <w:t>della presente convenzione di programma</w:t>
      </w:r>
      <w:r>
        <w:rPr>
          <w:rFonts w:cs="Arial"/>
          <w:szCs w:val="22"/>
          <w:lang w:val="it-IT" w:eastAsia="it-IT"/>
        </w:rPr>
        <w:t>.</w:t>
      </w:r>
    </w:p>
    <w:p w:rsidR="007719B7" w:rsidRDefault="007719B7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  <w:lang w:val="it-IT" w:eastAsia="it-IT"/>
        </w:rPr>
      </w:pPr>
    </w:p>
    <w:p w:rsidR="007719B7" w:rsidRDefault="00C645AB">
      <w:pPr>
        <w:spacing w:line="240" w:lineRule="auto"/>
        <w:rPr>
          <w:rFonts w:cs="Arial"/>
          <w:szCs w:val="22"/>
          <w:lang w:val="it-IT"/>
        </w:rPr>
      </w:pPr>
      <w:r>
        <w:rPr>
          <w:rFonts w:cs="Arial"/>
          <w:szCs w:val="22"/>
          <w:lang w:val="it-IT" w:eastAsia="it-IT"/>
        </w:rPr>
        <w:t>Prima di adire le vie legali, devono essere esperite le procedure che possono consentire di appianare le divergenze d’opinione e in particolare procedure peritali, di composizione dei conflitti, di mediazione e altre</w:t>
      </w:r>
      <w:r>
        <w:rPr>
          <w:rFonts w:cs="Arial"/>
          <w:szCs w:val="22"/>
          <w:lang w:val="it-IT"/>
        </w:rPr>
        <w:t>.</w:t>
      </w:r>
    </w:p>
    <w:p w:rsidR="007719B7" w:rsidRDefault="007719B7">
      <w:pPr>
        <w:tabs>
          <w:tab w:val="left" w:pos="426"/>
        </w:tabs>
        <w:spacing w:line="240" w:lineRule="auto"/>
        <w:rPr>
          <w:rFonts w:cs="Arial"/>
          <w:szCs w:val="22"/>
          <w:lang w:val="it-IT"/>
        </w:rPr>
      </w:pPr>
    </w:p>
    <w:p w:rsidR="007719B7" w:rsidRDefault="007719B7">
      <w:pPr>
        <w:tabs>
          <w:tab w:val="left" w:pos="426"/>
        </w:tabs>
        <w:spacing w:line="240" w:lineRule="auto"/>
        <w:rPr>
          <w:rFonts w:cs="Arial"/>
          <w:szCs w:val="22"/>
          <w:lang w:val="it-IT"/>
        </w:rPr>
      </w:pPr>
    </w:p>
    <w:p w:rsidR="007719B7" w:rsidRDefault="00C645AB">
      <w:pPr>
        <w:numPr>
          <w:ilvl w:val="0"/>
          <w:numId w:val="2"/>
        </w:numPr>
        <w:tabs>
          <w:tab w:val="clear" w:pos="360"/>
        </w:tabs>
        <w:spacing w:line="240" w:lineRule="auto"/>
        <w:ind w:left="567" w:hanging="567"/>
        <w:rPr>
          <w:rFonts w:cs="Arial"/>
          <w:b/>
          <w:szCs w:val="22"/>
          <w:lang w:val="it-IT"/>
        </w:rPr>
      </w:pPr>
      <w:r>
        <w:rPr>
          <w:rFonts w:cs="Arial"/>
          <w:b/>
          <w:szCs w:val="22"/>
          <w:lang w:val="it-IT"/>
        </w:rPr>
        <w:t>Protezione giuridica</w:t>
      </w:r>
    </w:p>
    <w:p w:rsidR="007719B7" w:rsidRDefault="007719B7">
      <w:pPr>
        <w:spacing w:line="240" w:lineRule="auto"/>
        <w:rPr>
          <w:rFonts w:cs="Arial"/>
          <w:szCs w:val="22"/>
          <w:lang w:val="it-IT"/>
        </w:rPr>
      </w:pPr>
    </w:p>
    <w:p w:rsidR="007719B7" w:rsidRDefault="00C645AB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  <w:lang w:val="it-IT"/>
        </w:rPr>
      </w:pPr>
      <w:r>
        <w:rPr>
          <w:rFonts w:cs="Arial"/>
          <w:szCs w:val="22"/>
          <w:lang w:val="it-IT" w:eastAsia="it-IT"/>
        </w:rPr>
        <w:t xml:space="preserve">La protezione giuridica è retta dalle disposizioni generali sull’amministrazione della giustizia federale (art. 35 cpv. 1 </w:t>
      </w:r>
      <w:proofErr w:type="spellStart"/>
      <w:r>
        <w:rPr>
          <w:rFonts w:cs="Arial"/>
          <w:szCs w:val="22"/>
          <w:lang w:val="it-IT" w:eastAsia="it-IT"/>
        </w:rPr>
        <w:t>LSu</w:t>
      </w:r>
      <w:proofErr w:type="spellEnd"/>
      <w:r>
        <w:rPr>
          <w:rFonts w:cs="Arial"/>
          <w:szCs w:val="22"/>
          <w:lang w:val="it-IT" w:eastAsia="it-IT"/>
        </w:rPr>
        <w:t>).</w:t>
      </w:r>
    </w:p>
    <w:p w:rsidR="007719B7" w:rsidRDefault="007719B7">
      <w:pPr>
        <w:spacing w:line="240" w:lineRule="auto"/>
        <w:rPr>
          <w:rFonts w:cs="Arial"/>
          <w:szCs w:val="22"/>
          <w:lang w:val="it-IT"/>
        </w:rPr>
      </w:pPr>
    </w:p>
    <w:p w:rsidR="007719B7" w:rsidRDefault="007719B7">
      <w:pPr>
        <w:spacing w:line="240" w:lineRule="auto"/>
        <w:rPr>
          <w:rFonts w:cs="Arial"/>
          <w:szCs w:val="22"/>
          <w:lang w:val="it-IT"/>
        </w:rPr>
      </w:pPr>
    </w:p>
    <w:p w:rsidR="007719B7" w:rsidRDefault="00C645AB">
      <w:pPr>
        <w:numPr>
          <w:ilvl w:val="0"/>
          <w:numId w:val="2"/>
        </w:numPr>
        <w:tabs>
          <w:tab w:val="clear" w:pos="360"/>
        </w:tabs>
        <w:spacing w:line="240" w:lineRule="auto"/>
        <w:ind w:left="567" w:hanging="567"/>
        <w:rPr>
          <w:rFonts w:cs="Arial"/>
          <w:b/>
          <w:szCs w:val="22"/>
          <w:lang w:val="it-IT"/>
        </w:rPr>
      </w:pPr>
      <w:r>
        <w:rPr>
          <w:rFonts w:cs="Arial"/>
          <w:b/>
          <w:szCs w:val="22"/>
          <w:lang w:val="it-IT"/>
        </w:rPr>
        <w:t>Modifica della convenzione di programma</w:t>
      </w:r>
    </w:p>
    <w:p w:rsidR="007719B7" w:rsidRDefault="007719B7">
      <w:pPr>
        <w:tabs>
          <w:tab w:val="left" w:pos="426"/>
        </w:tabs>
        <w:spacing w:line="240" w:lineRule="auto"/>
        <w:rPr>
          <w:rFonts w:cs="Arial"/>
          <w:szCs w:val="22"/>
          <w:lang w:val="it-IT"/>
        </w:rPr>
      </w:pPr>
    </w:p>
    <w:p w:rsidR="007719B7" w:rsidRDefault="00C645AB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2"/>
          <w:lang w:val="it-IT"/>
        </w:rPr>
      </w:pPr>
      <w:r>
        <w:rPr>
          <w:rFonts w:cs="Arial"/>
          <w:szCs w:val="22"/>
          <w:lang w:val="it-IT" w:eastAsia="it-IT"/>
        </w:rPr>
        <w:t>Pena la loro invalidità, le modifiche alla</w:t>
      </w:r>
      <w:r>
        <w:rPr>
          <w:rFonts w:cs="Arial"/>
          <w:szCs w:val="22"/>
          <w:lang w:val="it-IT"/>
        </w:rPr>
        <w:t xml:space="preserve"> presente convenzione </w:t>
      </w:r>
      <w:r>
        <w:rPr>
          <w:rFonts w:cs="Arial"/>
          <w:szCs w:val="22"/>
          <w:lang w:val="it-IT" w:eastAsia="it-IT"/>
        </w:rPr>
        <w:t>di programma devono essere redatte in forma scritta e devono essere firmate dai rappresentanti autorizzati di entrambe le parti.</w:t>
      </w:r>
    </w:p>
    <w:p w:rsidR="007719B7" w:rsidRDefault="007719B7">
      <w:pPr>
        <w:tabs>
          <w:tab w:val="left" w:pos="426"/>
        </w:tabs>
        <w:spacing w:line="240" w:lineRule="auto"/>
        <w:rPr>
          <w:rFonts w:cs="Arial"/>
          <w:szCs w:val="22"/>
          <w:lang w:val="it-IT"/>
        </w:rPr>
      </w:pPr>
    </w:p>
    <w:p w:rsidR="007719B7" w:rsidRDefault="007719B7">
      <w:pPr>
        <w:tabs>
          <w:tab w:val="left" w:pos="426"/>
        </w:tabs>
        <w:spacing w:line="240" w:lineRule="auto"/>
        <w:rPr>
          <w:rFonts w:cs="Arial"/>
          <w:szCs w:val="22"/>
          <w:lang w:val="it-IT"/>
        </w:rPr>
      </w:pPr>
    </w:p>
    <w:p w:rsidR="007719B7" w:rsidRDefault="00C645AB">
      <w:pPr>
        <w:numPr>
          <w:ilvl w:val="0"/>
          <w:numId w:val="2"/>
        </w:numPr>
        <w:tabs>
          <w:tab w:val="clear" w:pos="360"/>
        </w:tabs>
        <w:spacing w:line="240" w:lineRule="auto"/>
        <w:ind w:left="567" w:hanging="567"/>
        <w:rPr>
          <w:rFonts w:cs="Arial"/>
          <w:szCs w:val="22"/>
          <w:lang w:val="it-IT"/>
        </w:rPr>
      </w:pPr>
      <w:r>
        <w:rPr>
          <w:rFonts w:cs="Arial"/>
          <w:b/>
          <w:szCs w:val="22"/>
          <w:lang w:val="it-IT"/>
        </w:rPr>
        <w:t>Entrata in vigore della convenzione di programma</w:t>
      </w:r>
    </w:p>
    <w:p w:rsidR="007719B7" w:rsidRDefault="007719B7">
      <w:pPr>
        <w:tabs>
          <w:tab w:val="left" w:pos="426"/>
        </w:tabs>
        <w:spacing w:line="240" w:lineRule="auto"/>
        <w:rPr>
          <w:rFonts w:cs="Arial"/>
          <w:szCs w:val="22"/>
          <w:lang w:val="it-IT"/>
        </w:rPr>
      </w:pPr>
    </w:p>
    <w:p w:rsidR="007719B7" w:rsidRDefault="00C645AB">
      <w:pPr>
        <w:tabs>
          <w:tab w:val="left" w:pos="426"/>
        </w:tabs>
        <w:spacing w:line="240" w:lineRule="auto"/>
        <w:rPr>
          <w:rFonts w:cs="Arial"/>
          <w:szCs w:val="22"/>
          <w:lang w:val="it-IT"/>
        </w:rPr>
      </w:pPr>
      <w:r>
        <w:rPr>
          <w:rFonts w:cs="Arial"/>
          <w:szCs w:val="22"/>
          <w:lang w:val="it-IT" w:eastAsia="it-IT"/>
        </w:rPr>
        <w:t xml:space="preserve">La </w:t>
      </w:r>
      <w:r>
        <w:rPr>
          <w:rFonts w:cs="Arial"/>
          <w:szCs w:val="22"/>
          <w:lang w:val="it-IT"/>
        </w:rPr>
        <w:t xml:space="preserve">convenzione </w:t>
      </w:r>
      <w:r>
        <w:rPr>
          <w:rFonts w:cs="Arial"/>
          <w:szCs w:val="22"/>
          <w:lang w:val="it-IT" w:eastAsia="it-IT"/>
        </w:rPr>
        <w:t xml:space="preserve">di programma validamente firmata da entrambe le parti entra in vigore </w:t>
      </w:r>
      <w:proofErr w:type="gramStart"/>
      <w:r>
        <w:rPr>
          <w:rFonts w:cs="Arial"/>
          <w:szCs w:val="22"/>
          <w:lang w:val="it-IT" w:eastAsia="it-IT"/>
        </w:rPr>
        <w:t>i</w:t>
      </w:r>
      <w:r>
        <w:rPr>
          <w:rFonts w:cs="Arial"/>
          <w:szCs w:val="22"/>
          <w:lang w:val="it-IT"/>
        </w:rPr>
        <w:t xml:space="preserve">l </w:t>
      </w:r>
      <w:proofErr w:type="gramEnd"/>
      <w:r>
        <w:rPr>
          <w:rFonts w:cs="Arial"/>
          <w:szCs w:val="22"/>
          <w:lang w:val="it-IT"/>
        </w:rPr>
        <w:t>1 gennaio 2014.</w:t>
      </w:r>
    </w:p>
    <w:p w:rsidR="007719B7" w:rsidRDefault="007719B7">
      <w:pPr>
        <w:tabs>
          <w:tab w:val="left" w:pos="426"/>
        </w:tabs>
        <w:spacing w:line="240" w:lineRule="auto"/>
        <w:rPr>
          <w:rFonts w:cs="Arial"/>
          <w:szCs w:val="22"/>
          <w:lang w:val="it-IT"/>
        </w:rPr>
      </w:pPr>
    </w:p>
    <w:p w:rsidR="007719B7" w:rsidRDefault="00C645AB">
      <w:pPr>
        <w:numPr>
          <w:ilvl w:val="0"/>
          <w:numId w:val="2"/>
        </w:numPr>
        <w:tabs>
          <w:tab w:val="clear" w:pos="360"/>
          <w:tab w:val="left" w:pos="709"/>
        </w:tabs>
        <w:spacing w:line="240" w:lineRule="auto"/>
        <w:rPr>
          <w:rFonts w:cs="Arial"/>
          <w:szCs w:val="22"/>
          <w:lang w:val="it-IT"/>
        </w:rPr>
      </w:pPr>
      <w:r>
        <w:rPr>
          <w:rFonts w:cs="Arial"/>
          <w:b/>
          <w:szCs w:val="22"/>
          <w:lang w:val="it-IT"/>
        </w:rPr>
        <w:br w:type="page"/>
      </w:r>
      <w:r>
        <w:rPr>
          <w:rFonts w:cs="Arial"/>
          <w:b/>
          <w:szCs w:val="22"/>
          <w:lang w:val="it-IT"/>
        </w:rPr>
        <w:lastRenderedPageBreak/>
        <w:t>Allegati</w:t>
      </w:r>
    </w:p>
    <w:p w:rsidR="007719B7" w:rsidRDefault="007719B7">
      <w:pPr>
        <w:tabs>
          <w:tab w:val="left" w:pos="426"/>
        </w:tabs>
        <w:spacing w:line="240" w:lineRule="auto"/>
        <w:rPr>
          <w:rFonts w:cs="Arial"/>
          <w:szCs w:val="22"/>
          <w:lang w:val="it-IT"/>
        </w:rPr>
      </w:pPr>
    </w:p>
    <w:p w:rsidR="007719B7" w:rsidRDefault="00C645AB">
      <w:pPr>
        <w:tabs>
          <w:tab w:val="left" w:pos="426"/>
        </w:tabs>
        <w:spacing w:line="240" w:lineRule="auto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>Gli allegati costituiscono parte integrante e sostanziale della convenzione di programma.</w:t>
      </w:r>
    </w:p>
    <w:p w:rsidR="007719B7" w:rsidRDefault="007719B7">
      <w:pPr>
        <w:tabs>
          <w:tab w:val="left" w:pos="426"/>
        </w:tabs>
        <w:spacing w:line="240" w:lineRule="auto"/>
        <w:rPr>
          <w:rFonts w:cs="Arial"/>
          <w:szCs w:val="22"/>
          <w:lang w:val="it-IT"/>
        </w:rPr>
      </w:pPr>
    </w:p>
    <w:p w:rsidR="007719B7" w:rsidRDefault="007719B7">
      <w:pPr>
        <w:spacing w:line="240" w:lineRule="auto"/>
        <w:jc w:val="both"/>
        <w:rPr>
          <w:rFonts w:cs="Arial"/>
          <w:szCs w:val="22"/>
          <w:lang w:val="it-IT"/>
        </w:rPr>
      </w:pPr>
    </w:p>
    <w:p w:rsidR="007719B7" w:rsidRDefault="00C645AB">
      <w:pPr>
        <w:spacing w:line="240" w:lineRule="auto"/>
        <w:outlineLvl w:val="0"/>
        <w:rPr>
          <w:rFonts w:cs="Arial"/>
          <w:b/>
          <w:szCs w:val="22"/>
          <w:lang w:val="it-IT"/>
        </w:rPr>
      </w:pPr>
      <w:r>
        <w:rPr>
          <w:rFonts w:cs="Arial"/>
          <w:b/>
          <w:szCs w:val="22"/>
          <w:lang w:val="it-IT"/>
        </w:rPr>
        <w:t>Il presente contratto è redatto e sottoscritto in duplice copia.</w:t>
      </w:r>
    </w:p>
    <w:p w:rsidR="007719B7" w:rsidRDefault="007719B7">
      <w:pPr>
        <w:spacing w:line="240" w:lineRule="auto"/>
        <w:rPr>
          <w:rFonts w:cs="Arial"/>
          <w:szCs w:val="22"/>
          <w:lang w:val="it-IT"/>
        </w:rPr>
      </w:pPr>
    </w:p>
    <w:p w:rsidR="007719B7" w:rsidRDefault="007719B7">
      <w:pPr>
        <w:spacing w:line="240" w:lineRule="auto"/>
        <w:rPr>
          <w:rFonts w:cs="Arial"/>
          <w:szCs w:val="22"/>
          <w:lang w:val="it-IT"/>
        </w:rPr>
      </w:pPr>
    </w:p>
    <w:p w:rsidR="007719B7" w:rsidRDefault="00C645AB">
      <w:pPr>
        <w:tabs>
          <w:tab w:val="left" w:pos="5387"/>
        </w:tabs>
        <w:spacing w:line="240" w:lineRule="auto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>Luogo e data:</w:t>
      </w:r>
      <w:r>
        <w:rPr>
          <w:rFonts w:cs="Arial"/>
          <w:szCs w:val="22"/>
          <w:lang w:val="it-IT"/>
        </w:rPr>
        <w:tab/>
        <w:t>Luogo e data:</w:t>
      </w:r>
    </w:p>
    <w:p w:rsidR="007719B7" w:rsidRDefault="00C645AB">
      <w:pPr>
        <w:spacing w:line="240" w:lineRule="auto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 xml:space="preserve">Berna, </w:t>
      </w:r>
      <w:r>
        <w:rPr>
          <w:rFonts w:cs="Arial"/>
          <w:szCs w:val="22"/>
          <w:highlight w:val="yellow"/>
          <w:lang w:val="it-IT"/>
        </w:rPr>
        <w:t>DATA</w:t>
      </w:r>
    </w:p>
    <w:p w:rsidR="007719B7" w:rsidRDefault="007719B7">
      <w:pPr>
        <w:spacing w:line="240" w:lineRule="auto"/>
        <w:rPr>
          <w:rFonts w:cs="Arial"/>
          <w:szCs w:val="22"/>
          <w:lang w:val="it-IT"/>
        </w:rPr>
      </w:pPr>
    </w:p>
    <w:p w:rsidR="007719B7" w:rsidRDefault="007719B7">
      <w:pPr>
        <w:spacing w:line="240" w:lineRule="auto"/>
        <w:rPr>
          <w:rFonts w:cs="Arial"/>
          <w:szCs w:val="22"/>
          <w:lang w:val="it-IT"/>
        </w:rPr>
      </w:pPr>
    </w:p>
    <w:p w:rsidR="007719B7" w:rsidRDefault="00C645AB">
      <w:pPr>
        <w:tabs>
          <w:tab w:val="left" w:pos="5387"/>
        </w:tabs>
        <w:spacing w:line="240" w:lineRule="auto"/>
        <w:rPr>
          <w:rFonts w:cs="Arial"/>
          <w:szCs w:val="22"/>
          <w:lang w:val="it-IT"/>
        </w:rPr>
      </w:pPr>
      <w:r>
        <w:rPr>
          <w:rFonts w:cs="Arial"/>
          <w:b/>
          <w:szCs w:val="22"/>
          <w:lang w:val="it-IT"/>
        </w:rPr>
        <w:t>UFFICIO FEDERALE DELLA MIGRAZIONE</w:t>
      </w:r>
      <w:r>
        <w:rPr>
          <w:rFonts w:cs="Arial"/>
          <w:szCs w:val="22"/>
          <w:lang w:val="it-IT"/>
        </w:rPr>
        <w:tab/>
      </w:r>
      <w:r>
        <w:rPr>
          <w:rFonts w:cs="Arial"/>
          <w:b/>
          <w:szCs w:val="22"/>
          <w:highlight w:val="yellow"/>
          <w:lang w:val="it-IT"/>
        </w:rPr>
        <w:t>Cantone XY</w:t>
      </w:r>
    </w:p>
    <w:p w:rsidR="007719B7" w:rsidRDefault="00C645AB">
      <w:pPr>
        <w:spacing w:line="240" w:lineRule="auto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>Direzione</w:t>
      </w:r>
    </w:p>
    <w:p w:rsidR="007719B7" w:rsidRDefault="007719B7">
      <w:pPr>
        <w:spacing w:line="240" w:lineRule="auto"/>
        <w:rPr>
          <w:rFonts w:cs="Arial"/>
          <w:szCs w:val="22"/>
          <w:lang w:val="it-IT"/>
        </w:rPr>
      </w:pPr>
    </w:p>
    <w:p w:rsidR="007719B7" w:rsidRDefault="007719B7">
      <w:pPr>
        <w:spacing w:line="240" w:lineRule="auto"/>
        <w:rPr>
          <w:rFonts w:cs="Arial"/>
          <w:szCs w:val="22"/>
          <w:lang w:val="it-IT"/>
        </w:rPr>
      </w:pPr>
    </w:p>
    <w:p w:rsidR="007719B7" w:rsidRDefault="007719B7">
      <w:pPr>
        <w:spacing w:line="240" w:lineRule="auto"/>
        <w:rPr>
          <w:rFonts w:cs="Arial"/>
          <w:szCs w:val="22"/>
          <w:lang w:val="it-IT"/>
        </w:rPr>
      </w:pPr>
    </w:p>
    <w:p w:rsidR="007719B7" w:rsidRDefault="00C645AB">
      <w:pPr>
        <w:tabs>
          <w:tab w:val="left" w:pos="5387"/>
        </w:tabs>
        <w:spacing w:line="240" w:lineRule="auto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>Mario Gattiker, Direttore</w:t>
      </w:r>
      <w:r>
        <w:rPr>
          <w:rFonts w:cs="Arial"/>
          <w:szCs w:val="22"/>
          <w:lang w:val="it-IT"/>
        </w:rPr>
        <w:tab/>
      </w:r>
      <w:proofErr w:type="gramStart"/>
      <w:r>
        <w:rPr>
          <w:rFonts w:cs="Arial"/>
          <w:szCs w:val="22"/>
          <w:highlight w:val="yellow"/>
          <w:lang w:val="it-IT"/>
        </w:rPr>
        <w:t>{Nome</w:t>
      </w:r>
      <w:proofErr w:type="gramEnd"/>
      <w:r>
        <w:rPr>
          <w:rFonts w:cs="Arial"/>
          <w:szCs w:val="22"/>
          <w:highlight w:val="yellow"/>
          <w:lang w:val="it-IT"/>
        </w:rPr>
        <w:t>, funzione}</w:t>
      </w:r>
    </w:p>
    <w:p w:rsidR="007719B7" w:rsidRDefault="007719B7">
      <w:pPr>
        <w:spacing w:line="240" w:lineRule="auto"/>
        <w:jc w:val="both"/>
        <w:rPr>
          <w:rFonts w:cs="Arial"/>
          <w:szCs w:val="22"/>
          <w:lang w:val="it-IT"/>
        </w:rPr>
      </w:pPr>
    </w:p>
    <w:p w:rsidR="007719B7" w:rsidRDefault="007719B7">
      <w:pPr>
        <w:tabs>
          <w:tab w:val="left" w:pos="5387"/>
        </w:tabs>
        <w:spacing w:line="240" w:lineRule="auto"/>
        <w:rPr>
          <w:rFonts w:cs="Arial"/>
          <w:szCs w:val="22"/>
          <w:lang w:val="it-IT"/>
        </w:rPr>
      </w:pPr>
    </w:p>
    <w:p w:rsidR="007719B7" w:rsidRDefault="007719B7">
      <w:pPr>
        <w:tabs>
          <w:tab w:val="left" w:pos="5387"/>
        </w:tabs>
        <w:spacing w:line="240" w:lineRule="auto"/>
        <w:rPr>
          <w:rFonts w:cs="Arial"/>
          <w:szCs w:val="22"/>
          <w:lang w:val="it-IT"/>
        </w:rPr>
      </w:pPr>
    </w:p>
    <w:p w:rsidR="007719B7" w:rsidRDefault="007719B7">
      <w:pPr>
        <w:tabs>
          <w:tab w:val="left" w:pos="5387"/>
        </w:tabs>
        <w:spacing w:line="240" w:lineRule="auto"/>
        <w:rPr>
          <w:rFonts w:cs="Arial"/>
          <w:szCs w:val="22"/>
          <w:lang w:val="it-IT"/>
        </w:rPr>
      </w:pPr>
    </w:p>
    <w:p w:rsidR="007719B7" w:rsidRDefault="00C645AB">
      <w:pPr>
        <w:tabs>
          <w:tab w:val="left" w:pos="5387"/>
        </w:tabs>
        <w:spacing w:line="240" w:lineRule="auto"/>
        <w:outlineLvl w:val="0"/>
        <w:rPr>
          <w:rFonts w:cs="Arial"/>
          <w:b/>
          <w:szCs w:val="22"/>
          <w:lang w:val="it-IT"/>
        </w:rPr>
      </w:pPr>
      <w:r>
        <w:rPr>
          <w:rFonts w:cs="Arial"/>
          <w:b/>
          <w:szCs w:val="22"/>
          <w:lang w:val="it-IT"/>
        </w:rPr>
        <w:t>Allegati:</w:t>
      </w:r>
    </w:p>
    <w:p w:rsidR="007719B7" w:rsidRDefault="007719B7">
      <w:pPr>
        <w:tabs>
          <w:tab w:val="left" w:pos="5387"/>
        </w:tabs>
        <w:spacing w:line="240" w:lineRule="auto"/>
        <w:outlineLvl w:val="0"/>
        <w:rPr>
          <w:rFonts w:cs="Arial"/>
          <w:szCs w:val="22"/>
          <w:lang w:val="it-IT"/>
        </w:rPr>
      </w:pPr>
    </w:p>
    <w:p w:rsidR="007719B7" w:rsidRDefault="00C645AB">
      <w:pPr>
        <w:numPr>
          <w:ilvl w:val="0"/>
          <w:numId w:val="3"/>
        </w:numPr>
        <w:spacing w:line="240" w:lineRule="auto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 xml:space="preserve">“Documento di base </w:t>
      </w:r>
      <w:proofErr w:type="gramStart"/>
      <w:r>
        <w:rPr>
          <w:rFonts w:cs="Arial"/>
          <w:szCs w:val="22"/>
          <w:lang w:val="it-IT"/>
        </w:rPr>
        <w:t>relativo alla</w:t>
      </w:r>
      <w:proofErr w:type="gramEnd"/>
      <w:r>
        <w:rPr>
          <w:rFonts w:cs="Arial"/>
          <w:szCs w:val="22"/>
          <w:lang w:val="it-IT"/>
        </w:rPr>
        <w:t xml:space="preserve"> sottoscrizione di accordi programmatici ai sensi dell’art. 20</w:t>
      </w:r>
      <w:r>
        <w:rPr>
          <w:rFonts w:cs="Arial"/>
          <w:i/>
          <w:szCs w:val="22"/>
          <w:lang w:val="it-IT"/>
        </w:rPr>
        <w:t>a</w:t>
      </w:r>
      <w:r>
        <w:rPr>
          <w:rFonts w:cs="Arial"/>
          <w:szCs w:val="22"/>
          <w:lang w:val="it-IT"/>
        </w:rPr>
        <w:t xml:space="preserve"> </w:t>
      </w:r>
      <w:proofErr w:type="spellStart"/>
      <w:r>
        <w:rPr>
          <w:rFonts w:cs="Arial"/>
          <w:szCs w:val="22"/>
          <w:lang w:val="it-IT"/>
        </w:rPr>
        <w:t>LSu</w:t>
      </w:r>
      <w:proofErr w:type="spellEnd"/>
      <w:r>
        <w:rPr>
          <w:rFonts w:cs="Arial"/>
          <w:szCs w:val="22"/>
          <w:lang w:val="it-IT"/>
        </w:rPr>
        <w:t>” del 23 novembre 2011;</w:t>
      </w:r>
    </w:p>
    <w:p w:rsidR="007719B7" w:rsidRDefault="00C645AB">
      <w:pPr>
        <w:numPr>
          <w:ilvl w:val="0"/>
          <w:numId w:val="3"/>
        </w:numPr>
        <w:spacing w:line="240" w:lineRule="auto"/>
        <w:rPr>
          <w:rFonts w:cs="Arial"/>
          <w:szCs w:val="22"/>
          <w:lang w:val="it-IT"/>
        </w:rPr>
      </w:pPr>
      <w:proofErr w:type="gramStart"/>
      <w:r>
        <w:rPr>
          <w:rFonts w:cs="Arial"/>
          <w:szCs w:val="22"/>
          <w:lang w:val="it-IT"/>
        </w:rPr>
        <w:t xml:space="preserve">Circolare “Richiesta di convenzione di programma, compreso il programma cantonale d’integrazione” del </w:t>
      </w:r>
      <w:r w:rsidR="002973D4">
        <w:rPr>
          <w:rFonts w:cs="Arial"/>
          <w:szCs w:val="22"/>
          <w:lang w:val="it-IT"/>
        </w:rPr>
        <w:t xml:space="preserve">30 aprile </w:t>
      </w:r>
      <w:r>
        <w:rPr>
          <w:rFonts w:cs="Arial"/>
          <w:szCs w:val="22"/>
          <w:lang w:val="it-IT"/>
        </w:rPr>
        <w:t>2013;</w:t>
      </w:r>
      <w:proofErr w:type="gramEnd"/>
    </w:p>
    <w:p w:rsidR="007719B7" w:rsidRDefault="00C645AB">
      <w:pPr>
        <w:numPr>
          <w:ilvl w:val="0"/>
          <w:numId w:val="1"/>
        </w:numPr>
        <w:tabs>
          <w:tab w:val="num" w:pos="360"/>
        </w:tabs>
        <w:spacing w:line="240" w:lineRule="auto"/>
        <w:ind w:left="360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 xml:space="preserve">“Programma cantonale d’integrazione” </w:t>
      </w:r>
      <w:proofErr w:type="gramStart"/>
      <w:r>
        <w:rPr>
          <w:rFonts w:cs="Arial"/>
          <w:szCs w:val="22"/>
          <w:lang w:val="it-IT"/>
        </w:rPr>
        <w:t>del</w:t>
      </w:r>
      <w:proofErr w:type="gramEnd"/>
      <w:r>
        <w:rPr>
          <w:rFonts w:cs="Arial"/>
          <w:szCs w:val="22"/>
          <w:lang w:val="it-IT"/>
        </w:rPr>
        <w:t xml:space="preserve"> </w:t>
      </w:r>
      <w:r>
        <w:rPr>
          <w:rFonts w:cs="Arial"/>
          <w:szCs w:val="22"/>
          <w:highlight w:val="yellow"/>
          <w:lang w:val="it-IT"/>
        </w:rPr>
        <w:t>data</w:t>
      </w:r>
      <w:r>
        <w:rPr>
          <w:rFonts w:cs="Arial"/>
          <w:szCs w:val="22"/>
          <w:lang w:val="it-IT"/>
        </w:rPr>
        <w:t>.</w:t>
      </w:r>
    </w:p>
    <w:p w:rsidR="007719B7" w:rsidRDefault="007719B7">
      <w:pPr>
        <w:spacing w:line="240" w:lineRule="auto"/>
        <w:ind w:left="142" w:hanging="142"/>
        <w:rPr>
          <w:rFonts w:cs="Arial"/>
          <w:szCs w:val="22"/>
          <w:lang w:val="it-IT"/>
        </w:rPr>
      </w:pPr>
    </w:p>
    <w:p w:rsidR="007719B7" w:rsidRDefault="007719B7">
      <w:pPr>
        <w:spacing w:line="240" w:lineRule="auto"/>
        <w:ind w:left="142" w:hanging="142"/>
        <w:rPr>
          <w:rFonts w:cs="Arial"/>
          <w:szCs w:val="22"/>
          <w:lang w:val="it-IT"/>
        </w:rPr>
      </w:pPr>
    </w:p>
    <w:p w:rsidR="007719B7" w:rsidRDefault="00C645AB">
      <w:pPr>
        <w:spacing w:line="240" w:lineRule="auto"/>
        <w:ind w:left="142" w:hanging="142"/>
        <w:outlineLvl w:val="0"/>
        <w:rPr>
          <w:rFonts w:cs="Arial"/>
          <w:b/>
          <w:szCs w:val="22"/>
          <w:lang w:val="it-IT"/>
        </w:rPr>
      </w:pPr>
      <w:r>
        <w:rPr>
          <w:rFonts w:cs="Arial"/>
          <w:b/>
          <w:szCs w:val="22"/>
          <w:lang w:val="it-IT"/>
        </w:rPr>
        <w:t>Originale e allegati a:</w:t>
      </w:r>
    </w:p>
    <w:p w:rsidR="007719B7" w:rsidRDefault="007719B7">
      <w:pPr>
        <w:spacing w:line="240" w:lineRule="auto"/>
        <w:ind w:left="142" w:hanging="142"/>
        <w:outlineLvl w:val="0"/>
        <w:rPr>
          <w:rFonts w:cs="Arial"/>
          <w:szCs w:val="22"/>
          <w:lang w:val="it-IT"/>
        </w:rPr>
      </w:pPr>
    </w:p>
    <w:p w:rsidR="007719B7" w:rsidRDefault="00C645AB">
      <w:pPr>
        <w:numPr>
          <w:ilvl w:val="0"/>
          <w:numId w:val="4"/>
        </w:numPr>
        <w:spacing w:line="240" w:lineRule="auto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 xml:space="preserve">Cantone </w:t>
      </w:r>
      <w:r>
        <w:rPr>
          <w:rFonts w:cs="Arial"/>
          <w:szCs w:val="22"/>
          <w:highlight w:val="yellow"/>
          <w:lang w:val="it-IT"/>
        </w:rPr>
        <w:t>XY</w:t>
      </w:r>
    </w:p>
    <w:p w:rsidR="007719B7" w:rsidRDefault="00C645AB">
      <w:pPr>
        <w:numPr>
          <w:ilvl w:val="0"/>
          <w:numId w:val="4"/>
        </w:numPr>
        <w:spacing w:line="240" w:lineRule="auto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 xml:space="preserve">Ufficio federale della migrazione, GEVER </w:t>
      </w:r>
    </w:p>
    <w:p w:rsidR="007719B7" w:rsidRDefault="007719B7">
      <w:pPr>
        <w:spacing w:line="240" w:lineRule="auto"/>
        <w:rPr>
          <w:rFonts w:cs="Arial"/>
          <w:szCs w:val="22"/>
          <w:lang w:val="it-IT"/>
        </w:rPr>
      </w:pPr>
    </w:p>
    <w:p w:rsidR="007719B7" w:rsidRDefault="007719B7">
      <w:pPr>
        <w:spacing w:line="240" w:lineRule="auto"/>
        <w:rPr>
          <w:rFonts w:cs="Arial"/>
          <w:szCs w:val="22"/>
          <w:lang w:val="it-IT"/>
        </w:rPr>
      </w:pPr>
    </w:p>
    <w:p w:rsidR="007719B7" w:rsidRDefault="00C645AB">
      <w:pPr>
        <w:spacing w:line="240" w:lineRule="auto"/>
        <w:rPr>
          <w:rFonts w:cs="Arial"/>
          <w:b/>
          <w:szCs w:val="22"/>
          <w:lang w:val="it-IT"/>
        </w:rPr>
      </w:pPr>
      <w:r>
        <w:rPr>
          <w:rFonts w:cs="Arial"/>
          <w:b/>
          <w:szCs w:val="22"/>
          <w:lang w:val="it-IT"/>
        </w:rPr>
        <w:t>Copia per informazione, previa sottoscrizione da parte di entrambi i contraenti, con allegati a:</w:t>
      </w:r>
    </w:p>
    <w:p w:rsidR="007719B7" w:rsidRDefault="007719B7">
      <w:pPr>
        <w:spacing w:line="240" w:lineRule="auto"/>
        <w:rPr>
          <w:rFonts w:cs="Arial"/>
          <w:szCs w:val="22"/>
          <w:lang w:val="it-IT"/>
        </w:rPr>
      </w:pPr>
    </w:p>
    <w:p w:rsidR="007719B7" w:rsidRDefault="00C645AB">
      <w:pPr>
        <w:numPr>
          <w:ilvl w:val="0"/>
          <w:numId w:val="4"/>
        </w:numPr>
        <w:spacing w:line="240" w:lineRule="auto"/>
        <w:rPr>
          <w:rFonts w:cs="Arial"/>
          <w:szCs w:val="22"/>
          <w:lang w:val="it-IT"/>
        </w:rPr>
      </w:pPr>
      <w:proofErr w:type="spellStart"/>
      <w:r>
        <w:rPr>
          <w:rFonts w:cs="Arial"/>
          <w:szCs w:val="22"/>
          <w:lang w:val="it-IT"/>
        </w:rPr>
        <w:t>CdC</w:t>
      </w:r>
      <w:proofErr w:type="spellEnd"/>
    </w:p>
    <w:p w:rsidR="007719B7" w:rsidRDefault="007719B7">
      <w:pPr>
        <w:spacing w:line="240" w:lineRule="auto"/>
        <w:rPr>
          <w:rFonts w:cs="Arial"/>
          <w:szCs w:val="22"/>
          <w:lang w:val="it-IT"/>
        </w:rPr>
      </w:pPr>
    </w:p>
    <w:sectPr w:rsidR="007719B7" w:rsidSect="007719B7">
      <w:footerReference w:type="default" r:id="rId8"/>
      <w:headerReference w:type="first" r:id="rId9"/>
      <w:footerReference w:type="first" r:id="rId10"/>
      <w:pgSz w:w="11906" w:h="16838" w:code="9"/>
      <w:pgMar w:top="96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B1F" w:rsidRDefault="00396B1F">
      <w:r>
        <w:separator/>
      </w:r>
    </w:p>
    <w:p w:rsidR="00396B1F" w:rsidRDefault="00396B1F"/>
  </w:endnote>
  <w:endnote w:type="continuationSeparator" w:id="0">
    <w:p w:rsidR="00396B1F" w:rsidRDefault="00396B1F">
      <w:r>
        <w:continuationSeparator/>
      </w:r>
    </w:p>
    <w:p w:rsidR="00396B1F" w:rsidRDefault="00396B1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Gothic LT">
    <w:altName w:val="Arial Narrow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71" w:type="dxa"/>
        <w:right w:w="71" w:type="dxa"/>
      </w:tblCellMar>
      <w:tblLook w:val="01E0"/>
    </w:tblPr>
    <w:tblGrid>
      <w:gridCol w:w="9213"/>
    </w:tblGrid>
    <w:tr w:rsidR="007719B7">
      <w:trPr>
        <w:cantSplit/>
      </w:trPr>
      <w:tc>
        <w:tcPr>
          <w:tcW w:w="9213" w:type="dxa"/>
          <w:vAlign w:val="bottom"/>
        </w:tcPr>
        <w:p w:rsidR="007719B7" w:rsidRDefault="00D77FA0">
          <w:pPr>
            <w:suppressAutoHyphens/>
            <w:spacing w:line="200" w:lineRule="exact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 w:rsidR="00C645AB">
            <w:rPr>
              <w:sz w:val="18"/>
              <w:szCs w:val="18"/>
            </w:rPr>
            <w:instrText xml:space="preserve"> PAGE  </w:instrText>
          </w:r>
          <w:r>
            <w:rPr>
              <w:sz w:val="18"/>
              <w:szCs w:val="18"/>
            </w:rPr>
            <w:fldChar w:fldCharType="separate"/>
          </w:r>
          <w:r w:rsidR="003C35BD">
            <w:rPr>
              <w:noProof/>
              <w:sz w:val="18"/>
              <w:szCs w:val="18"/>
            </w:rPr>
            <w:t>8</w:t>
          </w:r>
          <w:r>
            <w:rPr>
              <w:sz w:val="18"/>
              <w:szCs w:val="18"/>
            </w:rPr>
            <w:fldChar w:fldCharType="end"/>
          </w:r>
          <w:r w:rsidR="00C645AB"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 w:rsidR="00C645AB">
            <w:rPr>
              <w:sz w:val="18"/>
              <w:szCs w:val="18"/>
            </w:rPr>
            <w:instrText xml:space="preserve"> NUMPAGES  </w:instrText>
          </w:r>
          <w:r>
            <w:rPr>
              <w:sz w:val="18"/>
              <w:szCs w:val="18"/>
            </w:rPr>
            <w:fldChar w:fldCharType="separate"/>
          </w:r>
          <w:r w:rsidR="003C35BD">
            <w:rPr>
              <w:noProof/>
              <w:sz w:val="18"/>
              <w:szCs w:val="18"/>
            </w:rPr>
            <w:t>8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7719B7" w:rsidRDefault="007719B7">
    <w:pPr>
      <w:pStyle w:val="Platzhal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71" w:type="dxa"/>
        <w:right w:w="71" w:type="dxa"/>
      </w:tblCellMar>
      <w:tblLook w:val="01E0"/>
    </w:tblPr>
    <w:tblGrid>
      <w:gridCol w:w="9213"/>
    </w:tblGrid>
    <w:tr w:rsidR="007719B7">
      <w:trPr>
        <w:cantSplit/>
      </w:trPr>
      <w:tc>
        <w:tcPr>
          <w:tcW w:w="9611" w:type="dxa"/>
          <w:vAlign w:val="bottom"/>
        </w:tcPr>
        <w:p w:rsidR="007719B7" w:rsidRDefault="00D77FA0">
          <w:pPr>
            <w:pStyle w:val="Seite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 w:rsidR="00C645AB">
            <w:rPr>
              <w:sz w:val="18"/>
              <w:szCs w:val="18"/>
            </w:rPr>
            <w:instrText xml:space="preserve"> PAGE  </w:instrText>
          </w:r>
          <w:r>
            <w:rPr>
              <w:sz w:val="18"/>
              <w:szCs w:val="18"/>
            </w:rPr>
            <w:fldChar w:fldCharType="separate"/>
          </w:r>
          <w:r w:rsidR="00CA0560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 w:rsidR="00C645AB"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 w:rsidR="00C645AB">
            <w:rPr>
              <w:sz w:val="18"/>
              <w:szCs w:val="18"/>
            </w:rPr>
            <w:instrText xml:space="preserve"> NUMPAGES  </w:instrText>
          </w:r>
          <w:r>
            <w:rPr>
              <w:sz w:val="18"/>
              <w:szCs w:val="18"/>
            </w:rPr>
            <w:fldChar w:fldCharType="separate"/>
          </w:r>
          <w:r w:rsidR="00CA0560">
            <w:rPr>
              <w:noProof/>
              <w:sz w:val="18"/>
              <w:szCs w:val="18"/>
            </w:rPr>
            <w:t>8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7719B7" w:rsidRDefault="007719B7">
    <w:pPr>
      <w:pStyle w:val="Fuzeile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B1F" w:rsidRDefault="00396B1F">
      <w:r>
        <w:separator/>
      </w:r>
    </w:p>
    <w:p w:rsidR="00396B1F" w:rsidRDefault="00396B1F"/>
  </w:footnote>
  <w:footnote w:type="continuationSeparator" w:id="0">
    <w:p w:rsidR="00396B1F" w:rsidRDefault="00396B1F">
      <w:r>
        <w:continuationSeparator/>
      </w:r>
    </w:p>
    <w:p w:rsidR="00396B1F" w:rsidRDefault="00396B1F"/>
  </w:footnote>
  <w:footnote w:id="1">
    <w:p w:rsidR="007719B7" w:rsidRDefault="00C645AB">
      <w:pPr>
        <w:pStyle w:val="Funotentext"/>
        <w:spacing w:line="240" w:lineRule="auto"/>
        <w:rPr>
          <w:lang w:val="it-IT"/>
        </w:rPr>
      </w:pPr>
      <w:r>
        <w:rPr>
          <w:rStyle w:val="Funotenzeichen"/>
        </w:rPr>
        <w:footnoteRef/>
      </w:r>
      <w:r>
        <w:rPr>
          <w:lang w:val="it-IT"/>
        </w:rPr>
        <w:t xml:space="preserve"> Qualora non si </w:t>
      </w:r>
      <w:proofErr w:type="gramStart"/>
      <w:r>
        <w:rPr>
          <w:lang w:val="it-IT"/>
        </w:rPr>
        <w:t>disponga di</w:t>
      </w:r>
      <w:proofErr w:type="gramEnd"/>
      <w:r>
        <w:rPr>
          <w:lang w:val="it-IT"/>
        </w:rPr>
        <w:t xml:space="preserve"> un indicatore idoneo, devono essere elencate le prestazioni.</w:t>
      </w:r>
    </w:p>
  </w:footnote>
  <w:footnote w:id="2">
    <w:p w:rsidR="007719B7" w:rsidRDefault="00C645AB">
      <w:pPr>
        <w:pStyle w:val="Funotentext"/>
        <w:spacing w:line="240" w:lineRule="auto"/>
        <w:rPr>
          <w:lang w:val="it-IT"/>
        </w:rPr>
      </w:pPr>
      <w:r>
        <w:rPr>
          <w:rStyle w:val="Funotenzeichen"/>
        </w:rPr>
        <w:footnoteRef/>
      </w:r>
      <w:r>
        <w:rPr>
          <w:lang w:val="it-IT"/>
        </w:rPr>
        <w:t xml:space="preserve"> Per legge, i cittadini dell’UE/AELS non possono essere obbligati a sottoporsi a misure integrative.</w:t>
      </w:r>
    </w:p>
  </w:footnote>
  <w:footnote w:id="3">
    <w:p w:rsidR="007719B7" w:rsidRDefault="00C645AB">
      <w:pPr>
        <w:pStyle w:val="Funotentext"/>
        <w:spacing w:line="240" w:lineRule="auto"/>
        <w:rPr>
          <w:lang w:val="it-IT"/>
        </w:rPr>
      </w:pPr>
      <w:r>
        <w:rPr>
          <w:rStyle w:val="Funotenzeichen"/>
        </w:rPr>
        <w:footnoteRef/>
      </w:r>
      <w:r>
        <w:rPr>
          <w:lang w:val="it-IT"/>
        </w:rPr>
        <w:t xml:space="preserve"> Qualora non si </w:t>
      </w:r>
      <w:proofErr w:type="gramStart"/>
      <w:r>
        <w:rPr>
          <w:lang w:val="it-IT"/>
        </w:rPr>
        <w:t>disponga di</w:t>
      </w:r>
      <w:proofErr w:type="gramEnd"/>
      <w:r>
        <w:rPr>
          <w:lang w:val="it-IT"/>
        </w:rPr>
        <w:t xml:space="preserve"> un indicatore idoneo, il Cantone riferisce in merito al grado di avanz</w:t>
      </w:r>
      <w:r>
        <w:rPr>
          <w:lang w:val="it-IT"/>
        </w:rPr>
        <w:t>a</w:t>
      </w:r>
      <w:r>
        <w:rPr>
          <w:lang w:val="it-IT"/>
        </w:rPr>
        <w:t>mento della prestazione dovuta.</w:t>
      </w:r>
    </w:p>
  </w:footnote>
  <w:footnote w:id="4">
    <w:p w:rsidR="007719B7" w:rsidRDefault="00C645AB">
      <w:pPr>
        <w:pStyle w:val="Funotentext"/>
        <w:spacing w:line="240" w:lineRule="auto"/>
        <w:rPr>
          <w:lang w:val="it-IT"/>
        </w:rPr>
      </w:pPr>
      <w:r>
        <w:rPr>
          <w:rStyle w:val="Funotenzeichen"/>
        </w:rPr>
        <w:footnoteRef/>
      </w:r>
      <w:r>
        <w:rPr>
          <w:lang w:val="it-IT"/>
        </w:rPr>
        <w:t xml:space="preserve"> Qualora non si </w:t>
      </w:r>
      <w:proofErr w:type="gramStart"/>
      <w:r>
        <w:rPr>
          <w:lang w:val="it-IT"/>
        </w:rPr>
        <w:t>disponga di</w:t>
      </w:r>
      <w:proofErr w:type="gramEnd"/>
      <w:r>
        <w:rPr>
          <w:lang w:val="it-IT"/>
        </w:rPr>
        <w:t xml:space="preserve"> un indicatore idoneo, il Cantone riferisce in merito alla prestazione 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/>
    </w:tblPr>
    <w:tblGrid>
      <w:gridCol w:w="4848"/>
      <w:gridCol w:w="4961"/>
    </w:tblGrid>
    <w:tr w:rsidR="007719B7">
      <w:trPr>
        <w:cantSplit/>
        <w:trHeight w:hRule="exact" w:val="1980"/>
      </w:trPr>
      <w:tc>
        <w:tcPr>
          <w:tcW w:w="4848" w:type="dxa"/>
        </w:tcPr>
        <w:p w:rsidR="007719B7" w:rsidRDefault="00C645AB">
          <w:pPr>
            <w:pStyle w:val="Logo"/>
          </w:pPr>
          <w:r>
            <w:drawing>
              <wp:inline distT="0" distB="0" distL="0" distR="0">
                <wp:extent cx="1978660" cy="648335"/>
                <wp:effectExtent l="19050" t="0" r="2540" b="0"/>
                <wp:docPr id="2" name="Immagine 2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660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9B7" w:rsidRDefault="00C645AB">
          <w:pPr>
            <w:pStyle w:val="Logo"/>
            <w:spacing w:after="120"/>
            <w:ind w:left="595"/>
            <w:rPr>
              <w:lang w:val="it-IT"/>
            </w:rPr>
          </w:pPr>
          <w:r>
            <w:rPr>
              <w:lang w:val="it-IT"/>
            </w:rPr>
            <w:t>Dipartimento federale di giustizia e polizia DFGP</w:t>
          </w:r>
        </w:p>
        <w:p w:rsidR="007719B7" w:rsidRDefault="00C645AB">
          <w:pPr>
            <w:pStyle w:val="Kopfzeile"/>
            <w:ind w:left="595"/>
            <w:rPr>
              <w:b/>
            </w:rPr>
          </w:pPr>
          <w:r>
            <w:rPr>
              <w:b/>
            </w:rPr>
            <w:t>Ufficio federale della migrazione UFM</w:t>
          </w:r>
        </w:p>
        <w:p w:rsidR="007719B7" w:rsidRDefault="007719B7">
          <w:pPr>
            <w:pStyle w:val="Logo"/>
          </w:pPr>
        </w:p>
      </w:tc>
      <w:tc>
        <w:tcPr>
          <w:tcW w:w="4961" w:type="dxa"/>
        </w:tcPr>
        <w:p w:rsidR="007719B7" w:rsidRDefault="00C645AB">
          <w:pPr>
            <w:pStyle w:val="Kopfzeile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16510</wp:posOffset>
                </wp:positionV>
                <wp:extent cx="2924175" cy="495300"/>
                <wp:effectExtent l="19050" t="0" r="9525" b="0"/>
                <wp:wrapNone/>
                <wp:docPr id="5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41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7719B7" w:rsidRDefault="007719B7">
    <w:pPr>
      <w:pStyle w:val="Platzhal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3C0"/>
    <w:multiLevelType w:val="hybridMultilevel"/>
    <w:tmpl w:val="7EA60382"/>
    <w:lvl w:ilvl="0" w:tplc="0B1C9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364BD1"/>
    <w:multiLevelType w:val="hybridMultilevel"/>
    <w:tmpl w:val="8F8A2FCE"/>
    <w:lvl w:ilvl="0" w:tplc="045EEDB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DA630D"/>
    <w:multiLevelType w:val="hybridMultilevel"/>
    <w:tmpl w:val="6F6611FE"/>
    <w:lvl w:ilvl="0" w:tplc="08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A649C1"/>
    <w:multiLevelType w:val="multilevel"/>
    <w:tmpl w:val="4D58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602AA2"/>
    <w:multiLevelType w:val="hybridMultilevel"/>
    <w:tmpl w:val="52C81226"/>
    <w:lvl w:ilvl="0" w:tplc="8F38C492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lang w:val="it-IT"/>
      </w:rPr>
    </w:lvl>
    <w:lvl w:ilvl="1" w:tplc="E370D4C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entaur" w:hAnsi="Arial" w:cs="Arial" w:hint="default"/>
      </w:r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36C16"/>
    <w:multiLevelType w:val="multilevel"/>
    <w:tmpl w:val="DB3C3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0D65184E"/>
    <w:multiLevelType w:val="multilevel"/>
    <w:tmpl w:val="CA42E9B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7">
    <w:nsid w:val="148153E9"/>
    <w:multiLevelType w:val="hybridMultilevel"/>
    <w:tmpl w:val="D502669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0E672F"/>
    <w:multiLevelType w:val="hybridMultilevel"/>
    <w:tmpl w:val="0896A7CC"/>
    <w:lvl w:ilvl="0" w:tplc="045EEDB8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17A26726"/>
    <w:multiLevelType w:val="hybridMultilevel"/>
    <w:tmpl w:val="DEDC450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C41953"/>
    <w:multiLevelType w:val="multilevel"/>
    <w:tmpl w:val="3B5E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1A7D71"/>
    <w:multiLevelType w:val="hybridMultilevel"/>
    <w:tmpl w:val="3B5E0C9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35434"/>
    <w:multiLevelType w:val="multilevel"/>
    <w:tmpl w:val="36DCEBC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87B249D"/>
    <w:multiLevelType w:val="hybridMultilevel"/>
    <w:tmpl w:val="B4E2CD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AA242A4"/>
    <w:multiLevelType w:val="hybridMultilevel"/>
    <w:tmpl w:val="7A34896C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CA34BD"/>
    <w:multiLevelType w:val="hybridMultilevel"/>
    <w:tmpl w:val="D540B2E6"/>
    <w:lvl w:ilvl="0" w:tplc="045EEDB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A51A32"/>
    <w:multiLevelType w:val="hybridMultilevel"/>
    <w:tmpl w:val="2786888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257E48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2360168"/>
    <w:multiLevelType w:val="hybridMultilevel"/>
    <w:tmpl w:val="16F29FC0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5C624CB"/>
    <w:multiLevelType w:val="hybridMultilevel"/>
    <w:tmpl w:val="62DAA3D2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CB4C2D"/>
    <w:multiLevelType w:val="hybridMultilevel"/>
    <w:tmpl w:val="4D58A32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9E2540"/>
    <w:multiLevelType w:val="hybridMultilevel"/>
    <w:tmpl w:val="9E1AD62C"/>
    <w:lvl w:ilvl="0" w:tplc="045EED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F81F60"/>
    <w:multiLevelType w:val="multilevel"/>
    <w:tmpl w:val="C0C860B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1"/>
        </w:tabs>
        <w:ind w:left="7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68"/>
        </w:tabs>
        <w:ind w:left="1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65"/>
        </w:tabs>
        <w:ind w:left="1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2"/>
        </w:tabs>
        <w:ind w:left="1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9"/>
        </w:tabs>
        <w:ind w:left="14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76"/>
        </w:tabs>
        <w:ind w:left="1776" w:hanging="1800"/>
      </w:pPr>
      <w:rPr>
        <w:rFonts w:hint="default"/>
      </w:rPr>
    </w:lvl>
  </w:abstractNum>
  <w:abstractNum w:abstractNumId="23">
    <w:nsid w:val="3B8C1933"/>
    <w:multiLevelType w:val="hybridMultilevel"/>
    <w:tmpl w:val="F696859A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477E1E"/>
    <w:multiLevelType w:val="hybridMultilevel"/>
    <w:tmpl w:val="1444C800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83A1063"/>
    <w:multiLevelType w:val="multilevel"/>
    <w:tmpl w:val="DB3C3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4A6B2B3A"/>
    <w:multiLevelType w:val="hybridMultilevel"/>
    <w:tmpl w:val="2ADCC2CC"/>
    <w:lvl w:ilvl="0" w:tplc="045EED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B82887"/>
    <w:multiLevelType w:val="multilevel"/>
    <w:tmpl w:val="833AB0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Centaur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698443B"/>
    <w:multiLevelType w:val="hybridMultilevel"/>
    <w:tmpl w:val="3FBEB606"/>
    <w:lvl w:ilvl="0" w:tplc="8952AF3C">
      <w:start w:val="1"/>
      <w:numFmt w:val="lowerLetter"/>
      <w:lvlText w:val="%1)"/>
      <w:lvlJc w:val="left"/>
      <w:pPr>
        <w:ind w:left="720" w:hanging="360"/>
      </w:pPr>
      <w:rPr>
        <w:rFonts w:hint="default"/>
        <w:lang w:val="it-I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3E7907"/>
    <w:multiLevelType w:val="hybridMultilevel"/>
    <w:tmpl w:val="0142B58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84520D"/>
    <w:multiLevelType w:val="hybridMultilevel"/>
    <w:tmpl w:val="1422C4C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12103E"/>
    <w:multiLevelType w:val="hybridMultilevel"/>
    <w:tmpl w:val="4D4AA12E"/>
    <w:lvl w:ilvl="0" w:tplc="045EED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0F30B7F"/>
    <w:multiLevelType w:val="hybridMultilevel"/>
    <w:tmpl w:val="6080806E"/>
    <w:lvl w:ilvl="0" w:tplc="0807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627911AC"/>
    <w:multiLevelType w:val="hybridMultilevel"/>
    <w:tmpl w:val="415E39B2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957BA4"/>
    <w:multiLevelType w:val="hybridMultilevel"/>
    <w:tmpl w:val="064A98CC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1C6733"/>
    <w:multiLevelType w:val="hybridMultilevel"/>
    <w:tmpl w:val="A500905A"/>
    <w:lvl w:ilvl="0" w:tplc="045EEDB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636711"/>
    <w:multiLevelType w:val="hybridMultilevel"/>
    <w:tmpl w:val="716E1EC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92E5F87"/>
    <w:multiLevelType w:val="hybridMultilevel"/>
    <w:tmpl w:val="32762084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381702"/>
    <w:multiLevelType w:val="hybridMultilevel"/>
    <w:tmpl w:val="BE543A74"/>
    <w:lvl w:ilvl="0" w:tplc="045EEDB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3D2FA6"/>
    <w:multiLevelType w:val="hybridMultilevel"/>
    <w:tmpl w:val="76761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594C40"/>
    <w:multiLevelType w:val="hybridMultilevel"/>
    <w:tmpl w:val="D52235FA"/>
    <w:lvl w:ilvl="0" w:tplc="045EEDB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31223D"/>
    <w:multiLevelType w:val="hybridMultilevel"/>
    <w:tmpl w:val="6074B1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DFC7D73"/>
    <w:multiLevelType w:val="hybridMultilevel"/>
    <w:tmpl w:val="0DA250A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F96755"/>
    <w:multiLevelType w:val="hybridMultilevel"/>
    <w:tmpl w:val="FACADCC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5"/>
  </w:num>
  <w:num w:numId="3">
    <w:abstractNumId w:val="1"/>
  </w:num>
  <w:num w:numId="4">
    <w:abstractNumId w:val="15"/>
  </w:num>
  <w:num w:numId="5">
    <w:abstractNumId w:val="31"/>
  </w:num>
  <w:num w:numId="6">
    <w:abstractNumId w:val="20"/>
  </w:num>
  <w:num w:numId="7">
    <w:abstractNumId w:val="42"/>
  </w:num>
  <w:num w:numId="8">
    <w:abstractNumId w:val="9"/>
  </w:num>
  <w:num w:numId="9">
    <w:abstractNumId w:val="11"/>
  </w:num>
  <w:num w:numId="10">
    <w:abstractNumId w:val="10"/>
  </w:num>
  <w:num w:numId="11">
    <w:abstractNumId w:val="26"/>
  </w:num>
  <w:num w:numId="12">
    <w:abstractNumId w:val="3"/>
  </w:num>
  <w:num w:numId="13">
    <w:abstractNumId w:val="21"/>
  </w:num>
  <w:num w:numId="14">
    <w:abstractNumId w:val="40"/>
  </w:num>
  <w:num w:numId="15">
    <w:abstractNumId w:val="8"/>
  </w:num>
  <w:num w:numId="16">
    <w:abstractNumId w:val="38"/>
  </w:num>
  <w:num w:numId="17">
    <w:abstractNumId w:val="35"/>
  </w:num>
  <w:num w:numId="18">
    <w:abstractNumId w:val="27"/>
  </w:num>
  <w:num w:numId="19">
    <w:abstractNumId w:val="19"/>
  </w:num>
  <w:num w:numId="20">
    <w:abstractNumId w:val="2"/>
  </w:num>
  <w:num w:numId="21">
    <w:abstractNumId w:val="41"/>
  </w:num>
  <w:num w:numId="22">
    <w:abstractNumId w:val="13"/>
  </w:num>
  <w:num w:numId="23">
    <w:abstractNumId w:val="24"/>
  </w:num>
  <w:num w:numId="24">
    <w:abstractNumId w:val="5"/>
  </w:num>
  <w:num w:numId="25">
    <w:abstractNumId w:val="32"/>
  </w:num>
  <w:num w:numId="26">
    <w:abstractNumId w:val="33"/>
  </w:num>
  <w:num w:numId="27">
    <w:abstractNumId w:val="34"/>
  </w:num>
  <w:num w:numId="28">
    <w:abstractNumId w:val="14"/>
  </w:num>
  <w:num w:numId="29">
    <w:abstractNumId w:val="23"/>
  </w:num>
  <w:num w:numId="30">
    <w:abstractNumId w:val="37"/>
  </w:num>
  <w:num w:numId="31">
    <w:abstractNumId w:val="39"/>
  </w:num>
  <w:num w:numId="32">
    <w:abstractNumId w:val="16"/>
  </w:num>
  <w:num w:numId="33">
    <w:abstractNumId w:val="30"/>
  </w:num>
  <w:num w:numId="34">
    <w:abstractNumId w:val="18"/>
  </w:num>
  <w:num w:numId="35">
    <w:abstractNumId w:val="28"/>
  </w:num>
  <w:num w:numId="36">
    <w:abstractNumId w:val="22"/>
  </w:num>
  <w:num w:numId="37">
    <w:abstractNumId w:val="12"/>
  </w:num>
  <w:num w:numId="38">
    <w:abstractNumId w:val="43"/>
  </w:num>
  <w:num w:numId="39">
    <w:abstractNumId w:val="6"/>
  </w:num>
  <w:num w:numId="40">
    <w:abstractNumId w:val="29"/>
  </w:num>
  <w:num w:numId="41">
    <w:abstractNumId w:val="7"/>
  </w:num>
  <w:num w:numId="42">
    <w:abstractNumId w:val="17"/>
  </w:num>
  <w:num w:numId="43">
    <w:abstractNumId w:val="0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docVars>
    <w:docVar w:name="Amt" w:val="Generalsekretariat"/>
    <w:docVar w:name="Amtkurz" w:val="GS-EJPD"/>
    <w:docVar w:name="Dept" w:val="Eidgenössisches Justiz- und Polizeidepartement"/>
    <w:docVar w:name="Deptkurz" w:val="EJPD"/>
    <w:docVar w:name="docvar_Amt_AbsAdrD" w:val="@@@"/>
    <w:docVar w:name="docvar_Amt_AbsAdrE" w:val="@@@"/>
    <w:docVar w:name="docvar_Amt_AbsAdrF" w:val="@@@"/>
    <w:docVar w:name="docvar_Amt_AbsAdrI" w:val="@@@"/>
    <w:docVar w:name="docvar_Amt_AbsOrtD" w:val="3003 Bern, Schweiz"/>
    <w:docVar w:name="docvar_Amt_AbsOrtE" w:val="3003 Bern, Switzerland"/>
    <w:docVar w:name="docvar_Amt_AbsOrtF" w:val="3003 Berne, Suisse"/>
    <w:docVar w:name="docvar_Amt_AbsOrtI" w:val="3003 Berna, Svizzera"/>
    <w:docVar w:name="docvar_Amt_AmtD" w:val="Generalsekretariat"/>
    <w:docVar w:name="docvar_Amt_AmtE" w:val="General Secretariat"/>
    <w:docVar w:name="docvar_Amt_AmtF" w:val="Secrétariat général"/>
    <w:docVar w:name="docvar_Amt_AmtI" w:val="Segreteria generale"/>
    <w:docVar w:name="docvar_Amt_AmtkurzD" w:val="GS-EJPD"/>
    <w:docVar w:name="docvar_Amt_AmtkurzE" w:val="GS-FDJP"/>
    <w:docVar w:name="docvar_Amt_AmtkurzF" w:val="SG-DFJP"/>
    <w:docVar w:name="docvar_Amt_AmtkurzI" w:val="SG-DFGP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xxx xx xx"/>
    <w:docVar w:name="docvar_Amt_Homepage" w:val="www.ejpd.admin.ch"/>
    <w:docVar w:name="docvar_Amt_PostAdrD" w:val="3003 Bern"/>
    <w:docVar w:name="docvar_Amt_PostAdrE" w:val="3003 Bern"/>
    <w:docVar w:name="docvar_Amt_PostAdrF" w:val="3003 Berne"/>
    <w:docVar w:name="docvar_Amt_PostAdrI" w:val="3003 Berna"/>
    <w:docVar w:name="docvar_Amt_Tel" w:val="+41 31 xxx xx xx"/>
    <w:docVar w:name="docvar_User_AbteilungD" w:val="Informatik"/>
    <w:docVar w:name="docvar_User_AbteilungE" w:val="@@@"/>
    <w:docVar w:name="docvar_User_AbteilungF" w:val="@@@"/>
    <w:docVar w:name="docvar_User_AbteilungI" w:val="@@@"/>
    <w:docVar w:name="docvar_User_EMail" w:val="ariane.schmutz@gs-ejpd.admin.ch"/>
    <w:docVar w:name="docvar_User_FunktionD" w:val="Funktion"/>
    <w:docVar w:name="docvar_User_FunktionE" w:val="Fonction"/>
    <w:docVar w:name="docvar_User_FunktionF" w:val="Fonction"/>
    <w:docVar w:name="docvar_User_FunktionI" w:val="Funzione"/>
    <w:docVar w:name="docvar_User_GrussnameD" w:val="A. Schmutz"/>
    <w:docVar w:name="docvar_User_GrussnameE" w:val="A. Schmutz"/>
    <w:docVar w:name="docvar_User_GrussnameF" w:val="A. Schmutz"/>
    <w:docVar w:name="docvar_User_GrussnameI" w:val="A. Schmutz"/>
    <w:docVar w:name="docvar_User_Kurzzeichen" w:val="SA"/>
    <w:docVar w:name="docvar_User_Nachname" w:val="Schmutz"/>
    <w:docVar w:name="docvar_User_persFax" w:val="+41 31 323 78 12"/>
    <w:docVar w:name="docvar_User_persTel" w:val="+41 31 323 78 13"/>
    <w:docVar w:name="docvar_User_SektionD" w:val="Applikationen / Projekte"/>
    <w:docVar w:name="docvar_User_SektionE" w:val="@@@"/>
    <w:docVar w:name="docvar_User_SektionF" w:val="@@@"/>
    <w:docVar w:name="docvar_User_SektionI" w:val="@@@"/>
    <w:docVar w:name="docvar_User_Sprache" w:val="D"/>
    <w:docVar w:name="docvar_User_StaoAdrD" w:val="Taubenstrasse 16"/>
    <w:docVar w:name="docvar_User_StaoAdrE" w:val="Taubenstrasse 16"/>
    <w:docVar w:name="docvar_User_StaoAdrF" w:val="Taubenstrasse 16"/>
    <w:docVar w:name="docvar_User_StaoAdrI" w:val="Taubenstrasse 16"/>
    <w:docVar w:name="docvar_User_StaoOrtD" w:val="Bern"/>
    <w:docVar w:name="docvar_User_StaoOrtE" w:val="Bern"/>
    <w:docVar w:name="docvar_User_StaoOrtF" w:val="Berne"/>
    <w:docVar w:name="docvar_User_StaoOrtI" w:val="Berna"/>
    <w:docVar w:name="docvar_User_StaoPLZ" w:val="3003"/>
    <w:docVar w:name="docvar_User_Vorname" w:val="Ariane"/>
    <w:docVar w:name="OrgEinheit" w:val="Informatik"/>
  </w:docVars>
  <w:rsids>
    <w:rsidRoot w:val="007719B7"/>
    <w:rsid w:val="00264C5D"/>
    <w:rsid w:val="002973D4"/>
    <w:rsid w:val="00396B1F"/>
    <w:rsid w:val="003C35BD"/>
    <w:rsid w:val="007719B7"/>
    <w:rsid w:val="00886343"/>
    <w:rsid w:val="00923007"/>
    <w:rsid w:val="00953D78"/>
    <w:rsid w:val="00A44E29"/>
    <w:rsid w:val="00AE1F9E"/>
    <w:rsid w:val="00B7419D"/>
    <w:rsid w:val="00C645AB"/>
    <w:rsid w:val="00CA0560"/>
    <w:rsid w:val="00D7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719B7"/>
    <w:pPr>
      <w:widowControl w:val="0"/>
      <w:spacing w:line="280" w:lineRule="atLeast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719B7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link w:val="FuzeileZchn"/>
    <w:rsid w:val="007719B7"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sid w:val="007719B7"/>
    <w:rPr>
      <w:rFonts w:ascii="Arial" w:hAnsi="Arial"/>
      <w:noProof/>
      <w:sz w:val="15"/>
    </w:rPr>
  </w:style>
  <w:style w:type="paragraph" w:customStyle="1" w:styleId="Pfad">
    <w:name w:val="Pfad"/>
    <w:next w:val="Fuzeile"/>
    <w:rsid w:val="007719B7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rsid w:val="007719B7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rsid w:val="007719B7"/>
    <w:pPr>
      <w:suppressAutoHyphens/>
      <w:spacing w:line="200" w:lineRule="exact"/>
      <w:jc w:val="right"/>
    </w:pPr>
    <w:rPr>
      <w:sz w:val="14"/>
      <w:szCs w:val="14"/>
    </w:rPr>
  </w:style>
  <w:style w:type="paragraph" w:styleId="Untertitel">
    <w:name w:val="Subtitle"/>
    <w:basedOn w:val="Titel"/>
    <w:next w:val="Standard"/>
    <w:link w:val="UntertitelZchn"/>
    <w:qFormat/>
    <w:rsid w:val="007719B7"/>
    <w:pPr>
      <w:outlineLvl w:val="1"/>
    </w:pPr>
    <w:rPr>
      <w:b w:val="0"/>
      <w:szCs w:val="24"/>
    </w:rPr>
  </w:style>
  <w:style w:type="paragraph" w:customStyle="1" w:styleId="Platzhalter">
    <w:name w:val="Platzhalter"/>
    <w:basedOn w:val="Standard"/>
    <w:rsid w:val="007719B7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rsid w:val="007719B7"/>
    <w:pPr>
      <w:widowControl/>
    </w:pPr>
    <w:rPr>
      <w:b/>
    </w:rPr>
  </w:style>
  <w:style w:type="paragraph" w:customStyle="1" w:styleId="KopfDept">
    <w:name w:val="KopfDept"/>
    <w:basedOn w:val="Kopfzeile"/>
    <w:next w:val="KopfFett"/>
    <w:rsid w:val="007719B7"/>
    <w:pPr>
      <w:widowControl/>
      <w:spacing w:after="100"/>
      <w:contextualSpacing/>
    </w:pPr>
  </w:style>
  <w:style w:type="paragraph" w:customStyle="1" w:styleId="Ref">
    <w:name w:val="Ref"/>
    <w:basedOn w:val="Standard"/>
    <w:next w:val="Standard"/>
    <w:rsid w:val="007719B7"/>
    <w:pPr>
      <w:widowControl/>
      <w:spacing w:line="200" w:lineRule="exact"/>
    </w:pPr>
    <w:rPr>
      <w:sz w:val="15"/>
    </w:rPr>
  </w:style>
  <w:style w:type="paragraph" w:styleId="Textkrper">
    <w:name w:val="Body Text"/>
    <w:basedOn w:val="Standard"/>
    <w:rsid w:val="007719B7"/>
    <w:pPr>
      <w:widowControl/>
      <w:spacing w:line="240" w:lineRule="auto"/>
      <w:jc w:val="both"/>
    </w:pPr>
    <w:rPr>
      <w:sz w:val="24"/>
    </w:rPr>
  </w:style>
  <w:style w:type="table" w:styleId="Tabellengitternetz">
    <w:name w:val="Table Grid"/>
    <w:basedOn w:val="NormaleTabelle"/>
    <w:rsid w:val="007719B7"/>
    <w:pPr>
      <w:widowControl w:val="0"/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semiHidden/>
    <w:rsid w:val="007719B7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7719B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7719B7"/>
    <w:pPr>
      <w:widowControl/>
    </w:pPr>
    <w:rPr>
      <w:sz w:val="20"/>
    </w:rPr>
  </w:style>
  <w:style w:type="character" w:styleId="Funotenzeichen">
    <w:name w:val="footnote reference"/>
    <w:basedOn w:val="Absatz-Standardschriftart"/>
    <w:semiHidden/>
    <w:rsid w:val="007719B7"/>
    <w:rPr>
      <w:vertAlign w:val="superscript"/>
    </w:rPr>
  </w:style>
  <w:style w:type="paragraph" w:customStyle="1" w:styleId="FormatvorlageLateinArialKomplexArialNach0pt">
    <w:name w:val="Formatvorlage (Latein) Arial (Komplex) Arial Nach:  0 pt"/>
    <w:basedOn w:val="Standard"/>
    <w:rsid w:val="007719B7"/>
    <w:pPr>
      <w:widowControl/>
      <w:spacing w:line="240" w:lineRule="auto"/>
    </w:pPr>
    <w:rPr>
      <w:rFonts w:cs="Arial"/>
      <w:sz w:val="24"/>
      <w:szCs w:val="24"/>
      <w:lang w:val="de-DE" w:eastAsia="en-US"/>
    </w:rPr>
  </w:style>
  <w:style w:type="character" w:styleId="Kommentarzeichen">
    <w:name w:val="annotation reference"/>
    <w:basedOn w:val="Absatz-Standardschriftart"/>
    <w:rsid w:val="007719B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719B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7719B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7719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719B7"/>
    <w:rPr>
      <w:b/>
      <w:bCs/>
    </w:rPr>
  </w:style>
  <w:style w:type="paragraph" w:customStyle="1" w:styleId="TAKAntragspapierStandard">
    <w:name w:val="TAK_Antragspapier_Standard"/>
    <w:basedOn w:val="Standard"/>
    <w:rsid w:val="007719B7"/>
    <w:pPr>
      <w:spacing w:before="120" w:after="120" w:line="240" w:lineRule="auto"/>
      <w:jc w:val="both"/>
    </w:pPr>
    <w:rPr>
      <w:rFonts w:ascii="NewsGothic LT" w:hAnsi="NewsGothic LT" w:cs="Arial"/>
      <w:snapToGrid w:val="0"/>
      <w:sz w:val="20"/>
    </w:rPr>
  </w:style>
  <w:style w:type="character" w:customStyle="1" w:styleId="KopfzeileZchn">
    <w:name w:val="Kopfzeile Zchn"/>
    <w:basedOn w:val="Absatz-Standardschriftart"/>
    <w:link w:val="Kopfzeile"/>
    <w:semiHidden/>
    <w:rsid w:val="007719B7"/>
    <w:rPr>
      <w:rFonts w:ascii="Arial" w:hAnsi="Arial"/>
      <w:noProof/>
      <w:sz w:val="15"/>
      <w:lang w:val="de-CH" w:eastAsia="de-CH" w:bidi="ar-SA"/>
    </w:rPr>
  </w:style>
  <w:style w:type="character" w:customStyle="1" w:styleId="FuzeileZchn">
    <w:name w:val="Fußzeile Zchn"/>
    <w:basedOn w:val="Absatz-Standardschriftart"/>
    <w:link w:val="Fuzeile"/>
    <w:semiHidden/>
    <w:rsid w:val="007719B7"/>
    <w:rPr>
      <w:rFonts w:ascii="Arial" w:hAnsi="Arial"/>
      <w:noProof/>
      <w:sz w:val="15"/>
      <w:szCs w:val="15"/>
      <w:lang w:val="de-CH" w:eastAsia="de-CH" w:bidi="ar-SA"/>
    </w:rPr>
  </w:style>
  <w:style w:type="character" w:customStyle="1" w:styleId="UntertitelZchn">
    <w:name w:val="Untertitel Zchn"/>
    <w:basedOn w:val="Absatz-Standardschriftart"/>
    <w:link w:val="Untertitel"/>
    <w:rsid w:val="007719B7"/>
    <w:rPr>
      <w:rFonts w:ascii="Arial" w:hAnsi="Arial" w:cs="Arial"/>
      <w:bCs/>
      <w:kern w:val="28"/>
      <w:sz w:val="42"/>
      <w:szCs w:val="24"/>
      <w:lang w:val="de-CH" w:eastAsia="de-CH" w:bidi="ar-SA"/>
    </w:rPr>
  </w:style>
  <w:style w:type="paragraph" w:styleId="Listenabsatz">
    <w:name w:val="List Paragraph"/>
    <w:basedOn w:val="Standard"/>
    <w:uiPriority w:val="34"/>
    <w:qFormat/>
    <w:rsid w:val="00CA0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1940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Modello</vt:lpstr>
    </vt:vector>
  </TitlesOfParts>
  <Company>Bundesverwaltung</Company>
  <LinksUpToDate>false</LinksUpToDate>
  <CharactersWithSpaces>14134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</dc:title>
  <dc:creator>Traduzioni Giannoni</dc:creator>
  <cp:lastModifiedBy>Mirjam Studer</cp:lastModifiedBy>
  <cp:revision>4</cp:revision>
  <cp:lastPrinted>2012-03-28T07:51:00Z</cp:lastPrinted>
  <dcterms:created xsi:type="dcterms:W3CDTF">2013-04-29T12:30:00Z</dcterms:created>
  <dcterms:modified xsi:type="dcterms:W3CDTF">2013-04-29T12:35:00Z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Subject">
    <vt:lpwstr/>
  </property>
  <property fmtid="{D5CDD505-2E9C-101B-9397-08002B2CF9AE}" pid="3" name="FSC#COOELAK@1.1001:FileReference">
    <vt:lpwstr>Schwerpunkteprogramm des Bundes (361/2007/00325)</vt:lpwstr>
  </property>
  <property fmtid="{D5CDD505-2E9C-101B-9397-08002B2CF9AE}" pid="4" name="FSC#COOELAK@1.1001:FileRefYear">
    <vt:lpwstr>2007</vt:lpwstr>
  </property>
  <property fmtid="{D5CDD505-2E9C-101B-9397-08002B2CF9AE}" pid="5" name="FSC#COOELAK@1.1001:FileRefOrdinal">
    <vt:lpwstr>325</vt:lpwstr>
  </property>
  <property fmtid="{D5CDD505-2E9C-101B-9397-08002B2CF9AE}" pid="6" name="FSC#COOELAK@1.1001:FileRefOU">
    <vt:lpwstr>Integration</vt:lpwstr>
  </property>
  <property fmtid="{D5CDD505-2E9C-101B-9397-08002B2CF9AE}" pid="7" name="FSC#COOELAK@1.1001:Organization">
    <vt:lpwstr/>
  </property>
  <property fmtid="{D5CDD505-2E9C-101B-9397-08002B2CF9AE}" pid="8" name="FSC#COOELAK@1.1001:Owner">
    <vt:lpwstr> Huerlimann</vt:lpwstr>
  </property>
  <property fmtid="{D5CDD505-2E9C-101B-9397-08002B2CF9AE}" pid="9" name="FSC#COOELAK@1.1001:OwnerExtension">
    <vt:lpwstr>+41 (0)31 325 91 17</vt:lpwstr>
  </property>
  <property fmtid="{D5CDD505-2E9C-101B-9397-08002B2CF9AE}" pid="10" name="FSC#COOELAK@1.1001:OwnerFaxExtension">
    <vt:lpwstr>+41 (0)31 325 93 79</vt:lpwstr>
  </property>
  <property fmtid="{D5CDD505-2E9C-101B-9397-08002B2CF9AE}" pid="11" name="FSC#COOELAK@1.1001:DispatchedBy">
    <vt:lpwstr/>
  </property>
  <property fmtid="{D5CDD505-2E9C-101B-9397-08002B2CF9AE}" pid="12" name="FSC#COOELAK@1.1001:DispatchedAt">
    <vt:lpwstr/>
  </property>
  <property fmtid="{D5CDD505-2E9C-101B-9397-08002B2CF9AE}" pid="13" name="FSC#COOELAK@1.1001:ApprovedBy">
    <vt:lpwstr/>
  </property>
  <property fmtid="{D5CDD505-2E9C-101B-9397-08002B2CF9AE}" pid="14" name="FSC#COOELAK@1.1001:ApprovedAt">
    <vt:lpwstr/>
  </property>
  <property fmtid="{D5CDD505-2E9C-101B-9397-08002B2CF9AE}" pid="15" name="FSC#COOELAK@1.1001:Department">
    <vt:lpwstr>Sektion Integration (Integration)</vt:lpwstr>
  </property>
  <property fmtid="{D5CDD505-2E9C-101B-9397-08002B2CF9AE}" pid="16" name="FSC#COOELAK@1.1001:CreatedAt">
    <vt:lpwstr>22.10.2008 23:00:00</vt:lpwstr>
  </property>
  <property fmtid="{D5CDD505-2E9C-101B-9397-08002B2CF9AE}" pid="17" name="FSC#COOELAK@1.1001:OU">
    <vt:lpwstr>Sektion Integration (Integration)</vt:lpwstr>
  </property>
  <property fmtid="{D5CDD505-2E9C-101B-9397-08002B2CF9AE}" pid="18" name="FSC#COOELAK@1.1001:Priority">
    <vt:lpwstr/>
  </property>
  <property fmtid="{D5CDD505-2E9C-101B-9397-08002B2CF9AE}" pid="19" name="FSC#COOELAK@1.1001:ObjBarCode">
    <vt:lpwstr>*COO.2180.101.7.63619*</vt:lpwstr>
  </property>
  <property fmtid="{D5CDD505-2E9C-101B-9397-08002B2CF9AE}" pid="20" name="FSC#COOELAK@1.1001:RefBarCode">
    <vt:lpwstr>*Vorlage Vereinbarung SP1_09-11 deutsch*</vt:lpwstr>
  </property>
  <property fmtid="{D5CDD505-2E9C-101B-9397-08002B2CF9AE}" pid="21" name="FSC#COOELAK@1.1001:FileRefBarCode">
    <vt:lpwstr>*Schwerpunkteprogramm des Bundes (361/2007/00325)*</vt:lpwstr>
  </property>
  <property fmtid="{D5CDD505-2E9C-101B-9397-08002B2CF9AE}" pid="22" name="FSC#COOELAK@1.1001:ExternalRef">
    <vt:lpwstr/>
  </property>
  <property fmtid="{D5CDD505-2E9C-101B-9397-08002B2CF9AE}" pid="23" name="FSC#COOSYSTEM@1.1:Container">
    <vt:lpwstr>COO.2180.101.7.63619</vt:lpwstr>
  </property>
  <property fmtid="{D5CDD505-2E9C-101B-9397-08002B2CF9AE}" pid="24" name="FSC:objaddress">
    <vt:lpwstr>Virtuelle Eigenschaft nicht gefunden</vt:lpwstr>
  </property>
  <property fmtid="{D5CDD505-2E9C-101B-9397-08002B2CF9AE}" pid="25" name="filetitle">
    <vt:lpwstr>Verträge Bürgerrecht und Integration</vt:lpwstr>
  </property>
  <property fmtid="{D5CDD505-2E9C-101B-9397-08002B2CF9AE}" pid="26" name="fileid">
    <vt:lpwstr>2005-01453</vt:lpwstr>
  </property>
  <property fmtid="{D5CDD505-2E9C-101B-9397-08002B2CF9AE}" pid="27" name="Aktenzeichen">
    <vt:lpwstr/>
  </property>
  <property fmtid="{D5CDD505-2E9C-101B-9397-08002B2CF9AE}" pid="28" name="fileregnr">
    <vt:lpwstr>015.323</vt:lpwstr>
  </property>
  <property fmtid="{D5CDD505-2E9C-101B-9397-08002B2CF9AE}" pid="29" name="Dok_Nr">
    <vt:lpwstr>H353-0255</vt:lpwstr>
  </property>
  <property fmtid="{D5CDD505-2E9C-101B-9397-08002B2CF9AE}" pid="30" name="Auftrag_Nr">
    <vt:lpwstr>2005-01453/14/01</vt:lpwstr>
  </property>
  <property fmtid="{D5CDD505-2E9C-101B-9397-08002B2CF9AE}" pid="31" name="strAktenzeichenKopf">
    <vt:lpwstr>Referenz/Aktenzeichen</vt:lpwstr>
  </property>
  <property fmtid="{D5CDD505-2E9C-101B-9397-08002B2CF9AE}" pid="32" name="Abteilung">
    <vt:lpwstr>Direktionsbereich Bürgerrecht, Integration und Bundesbeiträge</vt:lpwstr>
  </property>
  <property fmtid="{D5CDD505-2E9C-101B-9397-08002B2CF9AE}" pid="33" name="Sektion">
    <vt:lpwstr/>
  </property>
  <property fmtid="{D5CDD505-2E9C-101B-9397-08002B2CF9AE}" pid="34" name="##LOGO##">
    <vt:i4>1</vt:i4>
  </property>
  <property fmtid="{D5CDD505-2E9C-101B-9397-08002B2CF9AE}" pid="35" name="##LOGO2##">
    <vt:i4>0</vt:i4>
  </property>
  <property fmtid="{D5CDD505-2E9C-101B-9397-08002B2CF9AE}" pid="36" name="Amt">
    <vt:lpwstr>Bundesamt für Migration</vt:lpwstr>
  </property>
  <property fmtid="{D5CDD505-2E9C-101B-9397-08002B2CF9AE}" pid="37" name="Amtkurz">
    <vt:lpwstr>BFM</vt:lpwstr>
  </property>
  <property fmtid="{D5CDD505-2E9C-101B-9397-08002B2CF9AE}" pid="38" name="Departement">
    <vt:lpwstr>Eidgenössisches Justiz- und Polizeidepartement</vt:lpwstr>
  </property>
  <property fmtid="{D5CDD505-2E9C-101B-9397-08002B2CF9AE}" pid="39" name="Departementkurz">
    <vt:lpwstr>EJPD</vt:lpwstr>
  </property>
  <property fmtid="{D5CDD505-2E9C-101B-9397-08002B2CF9AE}" pid="40" name="Klassifizierung">
    <vt:lpwstr/>
  </property>
  <property fmtid="{D5CDD505-2E9C-101B-9397-08002B2CF9AE}" pid="41" name="strAktenzeichen">
    <vt:lpwstr>Referenz/Aktenzeichen</vt:lpwstr>
  </property>
  <property fmtid="{D5CDD505-2E9C-101B-9397-08002B2CF9AE}" pid="42" name="FSC#EJPDCFG@15.1700:RecipientSalutation">
    <vt:lpwstr/>
  </property>
  <property fmtid="{D5CDD505-2E9C-101B-9397-08002B2CF9AE}" pid="43" name="FSC#EJPDCFG@15.1700:RecipientTitle">
    <vt:lpwstr/>
  </property>
  <property fmtid="{D5CDD505-2E9C-101B-9397-08002B2CF9AE}" pid="44" name="FSC#EJPDCFG@15.1700:RecipientFirstname">
    <vt:lpwstr/>
  </property>
  <property fmtid="{D5CDD505-2E9C-101B-9397-08002B2CF9AE}" pid="45" name="FSC#EJPDCFG@15.1700:RecipientSurname">
    <vt:lpwstr/>
  </property>
  <property fmtid="{D5CDD505-2E9C-101B-9397-08002B2CF9AE}" pid="46" name="FSC#EJPDCFG@15.1700:RecipientStreet">
    <vt:lpwstr/>
  </property>
  <property fmtid="{D5CDD505-2E9C-101B-9397-08002B2CF9AE}" pid="47" name="FSC#EJPDCFG@15.1700:RecipientPOBox">
    <vt:lpwstr/>
  </property>
  <property fmtid="{D5CDD505-2E9C-101B-9397-08002B2CF9AE}" pid="48" name="FSC#EJPDCFG@15.1700:RecipientZIPCode">
    <vt:lpwstr/>
  </property>
  <property fmtid="{D5CDD505-2E9C-101B-9397-08002B2CF9AE}" pid="49" name="FSC#EJPDCFG@15.1700:RecipientCity">
    <vt:lpwstr/>
  </property>
  <property fmtid="{D5CDD505-2E9C-101B-9397-08002B2CF9AE}" pid="50" name="FSC#EJPDCFG@15.1700:RecipientCountry">
    <vt:lpwstr/>
  </property>
  <property fmtid="{D5CDD505-2E9C-101B-9397-08002B2CF9AE}" pid="51" name="FSC#EJPDCFG@15.1700:RecipientOrgname">
    <vt:lpwstr/>
  </property>
  <property fmtid="{D5CDD505-2E9C-101B-9397-08002B2CF9AE}" pid="52" name="FSC#EJPDCFG@15.1700:RecipientEMail">
    <vt:lpwstr/>
  </property>
  <property fmtid="{D5CDD505-2E9C-101B-9397-08002B2CF9AE}" pid="53" name="FSC#EJPDCFG@15.1700:RecipientContactSalutation">
    <vt:lpwstr/>
  </property>
  <property fmtid="{D5CDD505-2E9C-101B-9397-08002B2CF9AE}" pid="54" name="FSC#EJPDCFG@15.1700:RecipientContactFirstname">
    <vt:lpwstr/>
  </property>
  <property fmtid="{D5CDD505-2E9C-101B-9397-08002B2CF9AE}" pid="55" name="FSC#EJPDCFG@15.1700:RecipientContactSurname">
    <vt:lpwstr/>
  </property>
  <property fmtid="{D5CDD505-2E9C-101B-9397-08002B2CF9AE}" pid="56" name="FSC#EJPDCFG@15.1700:RecipientDate">
    <vt:lpwstr/>
  </property>
  <property fmtid="{D5CDD505-2E9C-101B-9397-08002B2CF9AE}" pid="57" name="FSC#EJPDCFG@15.1700:SubfileTitle">
    <vt:lpwstr>Vorlage Vereinbarung SP1_09-11 deutsch</vt:lpwstr>
  </property>
  <property fmtid="{D5CDD505-2E9C-101B-9397-08002B2CF9AE}" pid="58" name="FSC#EJPDCFG@15.1700:SubfileSubject">
    <vt:lpwstr/>
  </property>
  <property fmtid="{D5CDD505-2E9C-101B-9397-08002B2CF9AE}" pid="59" name="FSC#EJPDCFG@15.1700:SubfileDossierRef">
    <vt:lpwstr>361/2007/00325</vt:lpwstr>
  </property>
  <property fmtid="{D5CDD505-2E9C-101B-9397-08002B2CF9AE}" pid="60" name="FSC#EJPDCFG@15.1700:SubfileResponsibleFirstname">
    <vt:lpwstr>Felix</vt:lpwstr>
  </property>
  <property fmtid="{D5CDD505-2E9C-101B-9397-08002B2CF9AE}" pid="61" name="FSC#EJPDCFG@15.1700:SubfileResponsibleSurname">
    <vt:lpwstr>Huerlimann</vt:lpwstr>
  </property>
  <property fmtid="{D5CDD505-2E9C-101B-9397-08002B2CF9AE}" pid="62" name="FSC#EJPDCFG@15.1700:SubfileResponsibleProfession">
    <vt:lpwstr/>
  </property>
  <property fmtid="{D5CDD505-2E9C-101B-9397-08002B2CF9AE}" pid="63" name="FSC#EJPDCFG@15.1700:SubfileResponsibleInitials">
    <vt:lpwstr>bfm-huf</vt:lpwstr>
  </property>
  <property fmtid="{D5CDD505-2E9C-101B-9397-08002B2CF9AE}" pid="64" name="FSC#EJPDCFG@15.1700:AssignmentCommentHistory">
    <vt:lpwstr/>
  </property>
  <property fmtid="{D5CDD505-2E9C-101B-9397-08002B2CF9AE}" pid="65" name="FSC#EJPDCFG@15.1700:AssignmentDefaultComment">
    <vt:lpwstr/>
  </property>
  <property fmtid="{D5CDD505-2E9C-101B-9397-08002B2CF9AE}" pid="66" name="FSC#EJPDCFG@15.1700:AssignmentRemarks">
    <vt:lpwstr/>
  </property>
  <property fmtid="{D5CDD505-2E9C-101B-9397-08002B2CF9AE}" pid="67" name="FSC#EJPDCFG@15.1700:AssignmentExternalDate">
    <vt:lpwstr/>
  </property>
  <property fmtid="{D5CDD505-2E9C-101B-9397-08002B2CF9AE}" pid="68" name="FSC#EJPDCFG@15.1700:AssignmentProcessingDeadline">
    <vt:lpwstr/>
  </property>
  <property fmtid="{D5CDD505-2E9C-101B-9397-08002B2CF9AE}" pid="69" name="FSC#EJPDCFG@15.1700:AssignmentPlacingPosition">
    <vt:lpwstr/>
  </property>
  <property fmtid="{D5CDD505-2E9C-101B-9397-08002B2CF9AE}" pid="70" name="FSC#EJPDCFG@15.1700:AssignmentResponsible">
    <vt:lpwstr/>
  </property>
  <property fmtid="{D5CDD505-2E9C-101B-9397-08002B2CF9AE}" pid="71" name="FSC#EJPDCFG@15.1700:AssignmentUsers">
    <vt:lpwstr/>
  </property>
  <property fmtid="{D5CDD505-2E9C-101B-9397-08002B2CF9AE}" pid="72" name="FSC#EJPDCFG@15.1700:AssignmentUsersDone">
    <vt:lpwstr/>
  </property>
  <property fmtid="{D5CDD505-2E9C-101B-9397-08002B2CF9AE}" pid="73" name="FSC#EJPDCFG@15.1700:SubfileClassification">
    <vt:lpwstr>Nicht klassifiziert</vt:lpwstr>
  </property>
  <property fmtid="{D5CDD505-2E9C-101B-9397-08002B2CF9AE}" pid="74" name="FSC#EJPDCFG@15.1700:Department">
    <vt:lpwstr>Direktion</vt:lpwstr>
  </property>
  <property fmtid="{D5CDD505-2E9C-101B-9397-08002B2CF9AE}" pid="75" name="FSC#EJPDCFG@15.1700:DepartmentShort">
    <vt:lpwstr>DIR</vt:lpwstr>
  </property>
  <property fmtid="{D5CDD505-2E9C-101B-9397-08002B2CF9AE}" pid="76" name="FSC#EJPDCFG@15.1700:HierarchyFirstLevel">
    <vt:lpwstr>Direktion</vt:lpwstr>
  </property>
  <property fmtid="{D5CDD505-2E9C-101B-9397-08002B2CF9AE}" pid="77" name="FSC#EJPDCFG@15.1700:HierarchyFirstLevelShort">
    <vt:lpwstr>DIR</vt:lpwstr>
  </property>
  <property fmtid="{D5CDD505-2E9C-101B-9397-08002B2CF9AE}" pid="78" name="FSC#EJPDCFG@15.1700:HierarchySecondLevel">
    <vt:lpwstr>Direktionsbereich Migrationspolitik</vt:lpwstr>
  </property>
  <property fmtid="{D5CDD505-2E9C-101B-9397-08002B2CF9AE}" pid="79" name="FSC#EJPDCFG@15.1700:HierarchyThirdLevel">
    <vt:lpwstr>Sektion Europa</vt:lpwstr>
  </property>
  <property fmtid="{D5CDD505-2E9C-101B-9397-08002B2CF9AE}" pid="80" name="FSC#EJPDCFG@15.1700:HierarchyFourthLevel">
    <vt:lpwstr/>
  </property>
  <property fmtid="{D5CDD505-2E9C-101B-9397-08002B2CF9AE}" pid="81" name="FSC#EJPDCFG@15.1700:HierarchyFifthLevel">
    <vt:lpwstr/>
  </property>
  <property fmtid="{D5CDD505-2E9C-101B-9397-08002B2CF9AE}" pid="82" name="FSC#EJPDCFG@15.1700:ObjaddressContentObject">
    <vt:lpwstr>COO.2180.101.7.63619</vt:lpwstr>
  </property>
  <property fmtid="{D5CDD505-2E9C-101B-9397-08002B2CF9AE}" pid="83" name="FSC#EJPDCFG@15.1700:SubfileResponsibleSalutation">
    <vt:lpwstr/>
  </property>
  <property fmtid="{D5CDD505-2E9C-101B-9397-08002B2CF9AE}" pid="84" name="FSC#EJPDCFG@15.1700:SubfileResponsibleTelOffice">
    <vt:lpwstr>+41 (0)31 325 91 17</vt:lpwstr>
  </property>
  <property fmtid="{D5CDD505-2E9C-101B-9397-08002B2CF9AE}" pid="85" name="FSC#EJPDCFG@15.1700:SubfileResponsibleTelFax">
    <vt:lpwstr>+41 (0)31 325 93 79</vt:lpwstr>
  </property>
  <property fmtid="{D5CDD505-2E9C-101B-9397-08002B2CF9AE}" pid="86" name="FSC#EJPDCFG@15.1700:SubfileResponsibleEmail">
    <vt:lpwstr>felix.huerlimann@bfm.admin.ch</vt:lpwstr>
  </property>
  <property fmtid="{D5CDD505-2E9C-101B-9397-08002B2CF9AE}" pid="87" name="FSC#EJPDCFG@15.1700:SubfileResponsibleUrl">
    <vt:lpwstr>www.bfm.admin.ch</vt:lpwstr>
  </property>
  <property fmtid="{D5CDD505-2E9C-101B-9397-08002B2CF9AE}" pid="88" name="FSC#EJPDCFG@15.1700:SubfileResponsibleAddress">
    <vt:lpwstr>Quellenweg 6, 3003 Bern-Wabern</vt:lpwstr>
  </property>
  <property fmtid="{D5CDD505-2E9C-101B-9397-08002B2CF9AE}" pid="89" name="FSC#EJPDCFG@15.1700:FileRefOU">
    <vt:lpwstr>Integration</vt:lpwstr>
  </property>
  <property fmtid="{D5CDD505-2E9C-101B-9397-08002B2CF9AE}" pid="90" name="FSC#EJPDCFG@15.1700:OU">
    <vt:lpwstr>Sektion Integration (Integration)</vt:lpwstr>
  </property>
  <property fmtid="{D5CDD505-2E9C-101B-9397-08002B2CF9AE}" pid="91" name="FSC#EJPDCFG@15.1700:Department2">
    <vt:lpwstr>Sektion Integration (Integration)</vt:lpwstr>
  </property>
  <property fmtid="{D5CDD505-2E9C-101B-9397-08002B2CF9AE}" pid="92" name="FSC#EJPDCFG@15.1700:Recipient">
    <vt:lpwstr/>
  </property>
  <property fmtid="{D5CDD505-2E9C-101B-9397-08002B2CF9AE}" pid="93" name="FSC#COOELAK@1.1001:IncomingNumber">
    <vt:lpwstr/>
  </property>
  <property fmtid="{D5CDD505-2E9C-101B-9397-08002B2CF9AE}" pid="94" name="FSC#COOELAK@1.1001:IncomingSubject">
    <vt:lpwstr/>
  </property>
  <property fmtid="{D5CDD505-2E9C-101B-9397-08002B2CF9AE}" pid="95" name="FSC#COOELAK@1.1001:ProcessResponsible">
    <vt:lpwstr/>
  </property>
  <property fmtid="{D5CDD505-2E9C-101B-9397-08002B2CF9AE}" pid="96" name="FSC#COOELAK@1.1001:ProcessResponsiblePhone">
    <vt:lpwstr/>
  </property>
  <property fmtid="{D5CDD505-2E9C-101B-9397-08002B2CF9AE}" pid="97" name="FSC#COOELAK@1.1001:ProcessResponsibleMail">
    <vt:lpwstr/>
  </property>
  <property fmtid="{D5CDD505-2E9C-101B-9397-08002B2CF9AE}" pid="98" name="FSC#COOELAK@1.1001:ProcessResponsibleFax">
    <vt:lpwstr/>
  </property>
  <property fmtid="{D5CDD505-2E9C-101B-9397-08002B2CF9AE}" pid="99" name="FSC#COOELAK@1.1001:ApproverFirstName">
    <vt:lpwstr/>
  </property>
  <property fmtid="{D5CDD505-2E9C-101B-9397-08002B2CF9AE}" pid="100" name="FSC#COOELAK@1.1001:ApproverSurName">
    <vt:lpwstr/>
  </property>
  <property fmtid="{D5CDD505-2E9C-101B-9397-08002B2CF9AE}" pid="101" name="FSC#COOELAK@1.1001:ApproverTitle">
    <vt:lpwstr/>
  </property>
  <property fmtid="{D5CDD505-2E9C-101B-9397-08002B2CF9AE}" pid="102" name="FSC#COOELAK@1.1001:ExternalDate">
    <vt:lpwstr/>
  </property>
  <property fmtid="{D5CDD505-2E9C-101B-9397-08002B2CF9AE}" pid="103" name="FSC#COOELAK@1.1001:SettlementApprovedAt">
    <vt:lpwstr/>
  </property>
  <property fmtid="{D5CDD505-2E9C-101B-9397-08002B2CF9AE}" pid="104" name="FSC#COOELAK@1.1001:BaseNumber">
    <vt:lpwstr/>
  </property>
  <property fmtid="{D5CDD505-2E9C-101B-9397-08002B2CF9AE}" pid="105" name="FSC#COOELAK@1.1001:CurrentUserRolePos">
    <vt:lpwstr>Systemadministration</vt:lpwstr>
  </property>
  <property fmtid="{D5CDD505-2E9C-101B-9397-08002B2CF9AE}" pid="106" name="FSC#COOELAK@1.1001:CurrentUserEmail">
    <vt:lpwstr/>
  </property>
  <property fmtid="{D5CDD505-2E9C-101B-9397-08002B2CF9AE}" pid="107" name="FSC#ELAKGOV@1.1001:PersonalSubjGender">
    <vt:lpwstr/>
  </property>
  <property fmtid="{D5CDD505-2E9C-101B-9397-08002B2CF9AE}" pid="108" name="FSC#ELAKGOV@1.1001:PersonalSubjFirstName">
    <vt:lpwstr/>
  </property>
  <property fmtid="{D5CDD505-2E9C-101B-9397-08002B2CF9AE}" pid="109" name="FSC#ELAKGOV@1.1001:PersonalSubjSurName">
    <vt:lpwstr/>
  </property>
  <property fmtid="{D5CDD505-2E9C-101B-9397-08002B2CF9AE}" pid="110" name="FSC#ELAKGOV@1.1001:PersonalSubjSalutation">
    <vt:lpwstr/>
  </property>
  <property fmtid="{D5CDD505-2E9C-101B-9397-08002B2CF9AE}" pid="111" name="FSC#ELAKGOV@1.1001:PersonalSubjAddress">
    <vt:lpwstr/>
  </property>
  <property fmtid="{D5CDD505-2E9C-101B-9397-08002B2CF9AE}" pid="112" name="FSC$NOPARSEFILE">
    <vt:bool>true</vt:bool>
  </property>
</Properties>
</file>